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rial" w:hAnsi="Arial" w:cs="Arial" w:eastAsia="Arial"/>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object w:dxaOrig="10184" w:dyaOrig="6074">
          <v:rect xmlns:o="urn:schemas-microsoft-com:office:office" xmlns:v="urn:schemas-microsoft-com:vml" id="rectole0000000000" style="width:509.200000pt;height:303.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39" w:dyaOrig="3219">
          <v:rect xmlns:o="urn:schemas-microsoft-com:office:office" xmlns:v="urn:schemas-microsoft-com:vml" id="rectole0000000001" style="width:161.950000pt;height:160.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graphic, electronic, or mechanical including photocopying, digitizing, recording, or information storage-and-retrieval systems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BSBWHS402A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Glenn Roberts</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Date of assessment submission     19th june 2015</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32"/>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32"/>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32"/>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32"/>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32"/>
        </w:numPr>
        <w:spacing w:before="0" w:after="160" w:line="259"/>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Workplace and legal framework</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Legal advisors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Policy, procedure, process and system</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Workplace duties, rights and obligations </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name a workplace that you wish to examine.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Diamantina Shire Work Camp</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67"/>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6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current legislation and related documentation that will be relevant to your chosen workplace, and where such documentation can be found. </w:t>
            </w:r>
          </w:p>
          <w:p>
            <w:pPr>
              <w:numPr>
                <w:ilvl w:val="0"/>
                <w:numId w:val="67"/>
              </w:numPr>
              <w:spacing w:before="0" w:after="0" w:line="240"/>
              <w:ind w:right="0" w:left="36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For each document identified, specify one requirement that it specifies for the chosen workplace.</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1725"/>
        <w:gridCol w:w="3755"/>
        <w:gridCol w:w="3755"/>
      </w:tblGrid>
      <w:tr>
        <w:trPr>
          <w:trHeight w:val="1" w:hRule="atLeast"/>
          <w:jc w:val="left"/>
        </w:trPr>
        <w:tc>
          <w:tcPr>
            <w:tcW w:w="172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Document type</w:t>
            </w:r>
          </w:p>
        </w:tc>
        <w:tc>
          <w:tcPr>
            <w:tcW w:w="375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rPr>
            </w:pPr>
            <w:r>
              <w:rPr>
                <w:rFonts w:ascii="Calibri" w:hAnsi="Calibri" w:cs="Calibri" w:eastAsia="Calibri"/>
                <w:b/>
                <w:color w:val="auto"/>
                <w:spacing w:val="0"/>
                <w:position w:val="0"/>
                <w:sz w:val="22"/>
                <w:shd w:fill="auto" w:val="clear"/>
              </w:rPr>
              <w:t xml:space="preserve">Name of relevant document  </w:t>
              <w:br/>
            </w:r>
            <w:r>
              <w:rPr>
                <w:rFonts w:ascii="Calibri" w:hAnsi="Calibri" w:cs="Calibri" w:eastAsia="Calibri"/>
                <w:i/>
                <w:color w:val="auto"/>
                <w:spacing w:val="0"/>
                <w:position w:val="0"/>
                <w:sz w:val="18"/>
                <w:shd w:fill="auto" w:val="clear"/>
              </w:rPr>
              <w:t xml:space="preserve">(e.g. Work Health and Safety Act 2011 (Qld) found at </w:t>
            </w:r>
            <w:hyperlink xmlns:r="http://schemas.openxmlformats.org/officeDocument/2006/relationships" r:id="docRId4">
              <w:r>
                <w:rPr>
                  <w:rFonts w:ascii="Calibri" w:hAnsi="Calibri" w:cs="Calibri" w:eastAsia="Calibri"/>
                  <w:i/>
                  <w:color w:val="0563C1"/>
                  <w:spacing w:val="0"/>
                  <w:position w:val="0"/>
                  <w:sz w:val="18"/>
                  <w:u w:val="single"/>
                  <w:shd w:fill="auto" w:val="clear"/>
                </w:rPr>
                <w:t xml:space="preserve">www.legislation.qld.gov.au</w:t>
              </w:r>
            </w:hyperlink>
            <w:r>
              <w:rPr>
                <w:rFonts w:ascii="Calibri" w:hAnsi="Calibri" w:cs="Calibri" w:eastAsia="Calibri"/>
                <w:i/>
                <w:color w:val="auto"/>
                <w:spacing w:val="0"/>
                <w:position w:val="0"/>
                <w:sz w:val="18"/>
                <w:shd w:fill="auto" w:val="clear"/>
              </w:rPr>
              <w:t xml:space="preserve">)</w:t>
            </w:r>
          </w:p>
        </w:tc>
        <w:tc>
          <w:tcPr>
            <w:tcW w:w="375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Relevant section for chosen workplace</w:t>
            </w:r>
          </w:p>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i/>
                <w:color w:val="auto"/>
                <w:spacing w:val="0"/>
                <w:position w:val="0"/>
                <w:sz w:val="18"/>
                <w:shd w:fill="auto" w:val="clear"/>
              </w:rPr>
              <w:t xml:space="preserve">(e.g. Section 19: A person conducting a business or undertaking must ensure, so far as is reasonably practicable, the health and safety of workers)</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Legislation (Commonwealth or State)</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Commonwealth</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WH&amp;S Act 2011</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qld/legislation.qld.gov.au</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20</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duties of persons conducting business or undertakings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Regulation</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Guide to the model Work Health and Safety Regulations</w:t>
            </w:r>
            <w:r>
              <w:rPr>
                <w:rFonts w:ascii="Calibri" w:hAnsi="Calibri" w:cs="Calibri" w:eastAsia="Calibri"/>
                <w:color w:val="auto"/>
                <w:spacing w:val="0"/>
                <w:position w:val="0"/>
                <w:sz w:val="22"/>
                <w:shd w:fill="auto" w:val="clear"/>
              </w:rPr>
              <w:t xml:space="preserve">     </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6</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 3.1</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control and minimise risks on site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Code of practice</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WH&amp;S Act 2011</w:t>
            </w:r>
            <w:r>
              <w:rPr>
                <w:rFonts w:ascii="Calibri" w:hAnsi="Calibri" w:cs="Calibri" w:eastAsia="Calibri"/>
                <w:color w:val="auto"/>
                <w:spacing w:val="0"/>
                <w:position w:val="0"/>
                <w:sz w:val="22"/>
                <w:shd w:fill="auto" w:val="clear"/>
              </w:rPr>
              <w:t xml:space="preserve">     </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 3.1     part 3.2</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manage risks at the worksite for the benifit of all workers</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general workplace management</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Standard</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Code of Practice</w:t>
            </w:r>
            <w:r>
              <w:rPr>
                <w:rFonts w:ascii="Calibri" w:hAnsi="Calibri" w:cs="Calibri" w:eastAsia="Calibri"/>
                <w:color w:val="auto"/>
                <w:spacing w:val="0"/>
                <w:position w:val="0"/>
                <w:sz w:val="22"/>
                <w:shd w:fill="auto" w:val="clear"/>
              </w:rPr>
              <w:t xml:space="preserve">     </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IOS International Standards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Guidance publications</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WH&amp;S Act 2011</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Code of Practice </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Safe work Australia</w:t>
            </w:r>
            <w:r>
              <w:rPr>
                <w:rFonts w:ascii="Calibri" w:hAnsi="Calibri" w:cs="Calibri" w:eastAsia="Calibri"/>
                <w:color w:val="auto"/>
                <w:spacing w:val="0"/>
                <w:position w:val="0"/>
                <w:sz w:val="22"/>
                <w:shd w:fill="auto" w:val="clear"/>
              </w:rPr>
              <w:t xml:space="preserve">    </w:t>
            </w:r>
          </w:p>
        </w:tc>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18</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Reduce Hazards and Risks or eliminate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provide a safe workplace</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9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98"/>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two (2) legal advisors from whom you would seek advice regarding WHS in the workplace.</w:t>
            </w:r>
          </w:p>
          <w:p>
            <w:pPr>
              <w:numPr>
                <w:ilvl w:val="0"/>
                <w:numId w:val="98"/>
              </w:numPr>
              <w:spacing w:before="0" w:after="0" w:line="240"/>
              <w:ind w:right="0" w:left="426"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Identify two (2) examples of the types of advice you may seek from each legal advisor.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1"/>
        <w:gridCol w:w="1954"/>
        <w:gridCol w:w="6830"/>
      </w:tblGrid>
      <w:tr>
        <w:trPr>
          <w:trHeight w:val="1" w:hRule="atLeast"/>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Legal advisor</w:t>
            </w:r>
          </w:p>
        </w:tc>
        <w:tc>
          <w:tcPr>
            <w:tcW w:w="683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Advice sought</w:t>
            </w:r>
          </w:p>
        </w:tc>
      </w:tr>
      <w:tr>
        <w:trPr>
          <w:trHeight w:val="1134" w:hRule="auto"/>
          <w:jc w:val="left"/>
        </w:trPr>
        <w:tc>
          <w:tcPr>
            <w:tcW w:w="45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1</w:t>
            </w:r>
          </w:p>
        </w:tc>
        <w:tc>
          <w:tcPr>
            <w:tcW w:w="1954"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Workplace Health and Safety Queensland</w:t>
            </w:r>
            <w:r>
              <w:rPr>
                <w:rFonts w:ascii="Calibri" w:hAnsi="Calibri" w:cs="Calibri" w:eastAsia="Calibri"/>
                <w:color w:val="auto"/>
                <w:spacing w:val="0"/>
                <w:position w:val="0"/>
                <w:sz w:val="22"/>
                <w:shd w:fill="auto" w:val="clear"/>
              </w:rPr>
              <w:t xml:space="preserve">     </w:t>
            </w:r>
          </w:p>
        </w:tc>
        <w:tc>
          <w:tcPr>
            <w:tcW w:w="6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Enforcing work and safety laws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5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Educationof Employees and employers on thier legal obligations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2</w:t>
            </w:r>
          </w:p>
        </w:tc>
        <w:tc>
          <w:tcPr>
            <w:tcW w:w="1954"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 health and safety specialists</w:t>
            </w:r>
            <w:r>
              <w:rPr>
                <w:rFonts w:ascii="Calibri" w:hAnsi="Calibri" w:cs="Calibri" w:eastAsia="Calibri"/>
                <w:color w:val="auto"/>
                <w:spacing w:val="0"/>
                <w:position w:val="0"/>
                <w:sz w:val="22"/>
                <w:shd w:fill="auto" w:val="clear"/>
              </w:rPr>
              <w:t xml:space="preserve">     </w:t>
            </w:r>
          </w:p>
        </w:tc>
        <w:tc>
          <w:tcPr>
            <w:tcW w:w="6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Providing policy advice on workers compensation matters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5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Procecution of breaches of legislation</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3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of each of the following within your chosen organisation:</w:t>
            </w:r>
          </w:p>
          <w:p>
            <w:pPr>
              <w:numPr>
                <w:ilvl w:val="0"/>
                <w:numId w:val="1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policy</w:t>
            </w:r>
          </w:p>
          <w:p>
            <w:pPr>
              <w:numPr>
                <w:ilvl w:val="0"/>
                <w:numId w:val="1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procedure</w:t>
            </w:r>
          </w:p>
          <w:p>
            <w:pPr>
              <w:numPr>
                <w:ilvl w:val="0"/>
                <w:numId w:val="1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process</w:t>
            </w:r>
          </w:p>
          <w:p>
            <w:pPr>
              <w:numPr>
                <w:ilvl w:val="0"/>
                <w:numId w:val="13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system</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each, summarise:</w:t>
            </w:r>
          </w:p>
          <w:p>
            <w:pPr>
              <w:numPr>
                <w:ilvl w:val="0"/>
                <w:numId w:val="13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purpose</w:t>
            </w:r>
          </w:p>
          <w:p>
            <w:pPr>
              <w:numPr>
                <w:ilvl w:val="0"/>
                <w:numId w:val="13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it can be accessed</w:t>
            </w:r>
          </w:p>
          <w:p>
            <w:pPr>
              <w:numPr>
                <w:ilvl w:val="0"/>
                <w:numId w:val="137"/>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How it is developed and changed to ensure that compliance with WHS legislation is achieved</w:t>
            </w:r>
          </w:p>
        </w:tc>
      </w:tr>
    </w:tbl>
    <w:p>
      <w:pPr>
        <w:spacing w:before="0" w:after="160" w:line="240"/>
        <w:ind w:right="0" w:left="0" w:firstLine="0"/>
        <w:jc w:val="left"/>
        <w:rPr>
          <w:rFonts w:ascii="Calibri" w:hAnsi="Calibri" w:cs="Calibri" w:eastAsia="Calibri"/>
          <w:color w:val="auto"/>
          <w:spacing w:val="0"/>
          <w:position w:val="0"/>
          <w:sz w:val="22"/>
          <w:shd w:fill="auto" w:val="clear"/>
        </w:rPr>
      </w:pPr>
    </w:p>
    <w:tbl>
      <w:tblPr/>
      <w:tblGrid>
        <w:gridCol w:w="1911"/>
        <w:gridCol w:w="1832"/>
        <w:gridCol w:w="1833"/>
        <w:gridCol w:w="1833"/>
        <w:gridCol w:w="1833"/>
      </w:tblGrid>
      <w:tr>
        <w:trPr>
          <w:trHeight w:val="1" w:hRule="atLeast"/>
          <w:jc w:val="left"/>
        </w:trPr>
        <w:tc>
          <w:tcPr>
            <w:tcW w:w="191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document</w:t>
            </w:r>
          </w:p>
        </w:tc>
        <w:tc>
          <w:tcPr>
            <w:tcW w:w="18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Purpose of document</w:t>
            </w:r>
          </w:p>
        </w:tc>
        <w:tc>
          <w:tcPr>
            <w:tcW w:w="18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How document can be accessed</w:t>
            </w:r>
          </w:p>
        </w:tc>
        <w:tc>
          <w:tcPr>
            <w:tcW w:w="18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Maintaining compliance</w:t>
            </w:r>
          </w:p>
        </w:tc>
      </w:tr>
      <w:tr>
        <w:trPr>
          <w:trHeight w:val="1134" w:hRule="auto"/>
          <w:jc w:val="left"/>
        </w:trPr>
        <w:tc>
          <w:tcPr>
            <w:tcW w:w="19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policy</w:t>
            </w:r>
          </w:p>
        </w:tc>
        <w:tc>
          <w:tcPr>
            <w:tcW w:w="1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WH&amp;S Act 2011</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Information on laws</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auto"/>
                <w:spacing w:val="0"/>
                <w:position w:val="0"/>
                <w:sz w:val="22"/>
                <w:shd w:fill="auto" w:val="clear"/>
              </w:rPr>
              <w:t xml:space="preserve">download at </w:t>
            </w: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www.legislation.qld.gov.au</w:t>
              </w:r>
            </w:hyperlink>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training of employers and employees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procedure</w:t>
            </w:r>
          </w:p>
        </w:tc>
        <w:tc>
          <w:tcPr>
            <w:tcW w:w="1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 health and safety regulations</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information on procedures for implementing and controlling safety risks</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through work place or WH&amp;S safety specialist</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ensuring workers are trained and updated on changes of laws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process</w:t>
            </w:r>
          </w:p>
        </w:tc>
        <w:tc>
          <w:tcPr>
            <w:tcW w:w="1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Safe work practices</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ensure that safe work practices are followed </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download at safe worrk australia or WH&amp;S officer</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ensuring monitoring is in existance and recorded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system</w:t>
            </w:r>
          </w:p>
        </w:tc>
        <w:tc>
          <w:tcPr>
            <w:tcW w:w="1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Legislation</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to ensure safety to workers and all involved </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WH&amp;S officer</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or download</w:t>
            </w:r>
            <w:r>
              <w:rPr>
                <w:rFonts w:ascii="Calibri" w:hAnsi="Calibri" w:cs="Calibri" w:eastAsia="Calibri"/>
                <w:color w:val="auto"/>
                <w:spacing w:val="0"/>
                <w:position w:val="0"/>
                <w:sz w:val="22"/>
                <w:shd w:fill="auto" w:val="clear"/>
              </w:rPr>
              <w:t xml:space="preserve">     </w:t>
            </w:r>
          </w:p>
        </w:tc>
        <w:tc>
          <w:tcPr>
            <w:tcW w:w="18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risk assesments and constant monitoring</w:t>
            </w:r>
            <w:r>
              <w:rPr>
                <w:rFonts w:ascii="Calibri" w:hAnsi="Calibri" w:cs="Calibri" w:eastAsia="Calibri"/>
                <w:color w:val="auto"/>
                <w:spacing w:val="0"/>
                <w:position w:val="0"/>
                <w:sz w:val="22"/>
                <w:shd w:fill="auto" w:val="clear"/>
              </w:rPr>
              <w:t xml:space="preserve">     </w:t>
            </w:r>
          </w:p>
        </w:tc>
      </w:tr>
    </w:tbl>
    <w:p>
      <w:pPr>
        <w:spacing w:before="0" w:after="16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62"/>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purpose of the company manual, you are to explain the role of WHS in your chosen workplace, by developing a report in the following structure:</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166"/>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INTRODUCTION</w:t>
            </w:r>
          </w:p>
          <w:p>
            <w:pPr>
              <w:numPr>
                <w:ilvl w:val="0"/>
                <w:numId w:val="166"/>
              </w:numPr>
              <w:spacing w:before="0" w:after="0" w:line="240"/>
              <w:ind w:right="0" w:left="709" w:hanging="357"/>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the background of your company, its role and purpose </w:t>
            </w:r>
          </w:p>
          <w:p>
            <w:pPr>
              <w:numPr>
                <w:ilvl w:val="0"/>
                <w:numId w:val="166"/>
              </w:numPr>
              <w:spacing w:before="0" w:after="0" w:line="240"/>
              <w:ind w:right="0" w:left="709" w:hanging="357"/>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objectives and principles underpinning WHS legislation</w:t>
            </w:r>
          </w:p>
          <w:p>
            <w:pPr>
              <w:numPr>
                <w:ilvl w:val="0"/>
                <w:numId w:val="166"/>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WHS REGULATOR</w:t>
            </w:r>
          </w:p>
          <w:p>
            <w:pPr>
              <w:numPr>
                <w:ilvl w:val="0"/>
                <w:numId w:val="166"/>
              </w:numPr>
              <w:spacing w:before="0" w:after="0" w:line="240"/>
              <w:ind w:right="0" w:left="709" w:hanging="357"/>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WHS regulator that applies to your company</w:t>
            </w:r>
          </w:p>
          <w:p>
            <w:pPr>
              <w:numPr>
                <w:ilvl w:val="0"/>
                <w:numId w:val="166"/>
              </w:numPr>
              <w:spacing w:before="0" w:after="0" w:line="240"/>
              <w:ind w:right="0" w:left="709" w:hanging="357"/>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the functions and powers of the WHS regulator and how they are exercised</w:t>
            </w:r>
          </w:p>
          <w:p>
            <w:pPr>
              <w:numPr>
                <w:ilvl w:val="0"/>
                <w:numId w:val="166"/>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INDIVIDUALS AND PARTIES</w:t>
            </w:r>
          </w:p>
          <w:p>
            <w:pPr>
              <w:numPr>
                <w:ilvl w:val="0"/>
                <w:numId w:val="166"/>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WORKERS</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workers’ WHS duties under the legislation</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workers’ WHS rights under the legislation</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workers’ WHS obligations under the legislation</w:t>
            </w:r>
          </w:p>
          <w:p>
            <w:pPr>
              <w:numPr>
                <w:ilvl w:val="0"/>
                <w:numId w:val="166"/>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PERSONS CONDUCTING BUSINESSES OR UNDERTAKINGS (PCBUs) OR THEIR OFFICERS</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PCBU’s WHS duties under the legislation</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PCBU’s WHS rights under the legislation</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PCBU’s WHS obligations under the legislation</w:t>
            </w:r>
          </w:p>
          <w:p>
            <w:pPr>
              <w:numPr>
                <w:ilvl w:val="0"/>
                <w:numId w:val="166"/>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COMPLIANCE</w:t>
            </w:r>
          </w:p>
          <w:p>
            <w:pPr>
              <w:numPr>
                <w:ilvl w:val="0"/>
                <w:numId w:val="166"/>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WORKERS</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workers are to be assessed for WHS compliance with legislation</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ways in which workers’ WHS training needs will be assessed </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how the workplace will internally provide support for workers’ training needs</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the workplace will liaise with training providers and trainers to address workers’ training needs</w:t>
            </w:r>
          </w:p>
          <w:p>
            <w:pPr>
              <w:numPr>
                <w:ilvl w:val="0"/>
                <w:numId w:val="166"/>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PERSONS CONDUCTING BUSINESSES OR UNDERTAKINGS (PCBUs) OR THEIR OFFICERS</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PCBUs are to be assessed for WHS compliance with legislation</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ways in which PCBU’s WHS training needs will be assessed </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how the workplace will internally provide support for PCBU’s training needs</w:t>
            </w:r>
          </w:p>
          <w:p>
            <w:pPr>
              <w:numPr>
                <w:ilvl w:val="0"/>
                <w:numId w:val="166"/>
              </w:numPr>
              <w:spacing w:before="0" w:after="0" w:line="240"/>
              <w:ind w:right="0" w:left="1074"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the company will liaise with training providers and trainers to address PCBU’s training needs</w:t>
            </w:r>
          </w:p>
          <w:p>
            <w:pPr>
              <w:numPr>
                <w:ilvl w:val="0"/>
                <w:numId w:val="166"/>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CONCLUSION</w:t>
            </w:r>
          </w:p>
          <w:p>
            <w:pPr>
              <w:numPr>
                <w:ilvl w:val="0"/>
                <w:numId w:val="166"/>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the importance of WHS to your company</w:t>
            </w:r>
          </w:p>
          <w:p>
            <w:pPr>
              <w:numPr>
                <w:ilvl w:val="0"/>
                <w:numId w:val="166"/>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that workers and PCBUs have varying WHS duties, rights and obligations under the legislation</w:t>
            </w:r>
          </w:p>
          <w:p>
            <w:pPr>
              <w:numPr>
                <w:ilvl w:val="0"/>
                <w:numId w:val="166"/>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Express the importance of maintaining compliance and addressing training needs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TIPS:</w:t>
            </w:r>
          </w:p>
          <w:p>
            <w:pPr>
              <w:numPr>
                <w:ilvl w:val="0"/>
                <w:numId w:val="183"/>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the report template (below) and elaborate on the points above.</w:t>
            </w:r>
          </w:p>
          <w:p>
            <w:pPr>
              <w:numPr>
                <w:ilvl w:val="0"/>
                <w:numId w:val="183"/>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pPr>
              <w:numPr>
                <w:ilvl w:val="0"/>
                <w:numId w:val="183"/>
              </w:numPr>
              <w:spacing w:before="0" w:after="0" w:line="240"/>
              <w:ind w:right="0" w:left="426"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Be sure to refer specifically to the legislation using section numbers, so that the reader could refer to the legislation for more information if they wanted to.  </w:t>
            </w:r>
          </w:p>
        </w:tc>
      </w:tr>
    </w:tbl>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189"/>
              </w:numPr>
              <w:spacing w:before="0" w:after="0" w:line="240"/>
              <w:ind w:right="0" w:left="360"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INTRODUCTION</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1)Local Council maintaining and upgrading shire for the betterment of residents and visitors</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2)making sure the facilities eg: roads and common areas are safe and risk free from harm and or serious injury for all people that are enjoying the use of said places</w:t>
            </w:r>
            <w:r>
              <w:rPr>
                <w:rFonts w:ascii="Calibri" w:hAnsi="Calibri" w:cs="Calibri" w:eastAsia="Calibri"/>
                <w:color w:val="auto"/>
                <w:spacing w:val="0"/>
                <w:position w:val="0"/>
                <w:sz w:val="22"/>
                <w:shd w:fill="auto" w:val="clear"/>
              </w:rPr>
              <w:t xml:space="preserve">    </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195"/>
              </w:numPr>
              <w:spacing w:before="0" w:after="0" w:line="240"/>
              <w:ind w:right="0" w:left="360"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WHS REGULATOR</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1)WH&amp;S Legislation the act of 2011 downloadable at </w:t>
            </w: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www.legislation.qld.gov.au</w:t>
              </w:r>
            </w:hyperlink>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2)To ensure the safety of all workers,staff and PCBU's also vistors the workplace is run in accordance with the safe work regulation and is enforced by adhereing to the legislation which governs said workplace </w:t>
            </w:r>
            <w:r>
              <w:rPr>
                <w:rFonts w:ascii="Calibri" w:hAnsi="Calibri" w:cs="Calibri" w:eastAsia="Calibri"/>
                <w:color w:val="auto"/>
                <w:spacing w:val="0"/>
                <w:position w:val="0"/>
                <w:sz w:val="22"/>
                <w:shd w:fill="auto" w:val="clear"/>
              </w:rPr>
              <w:t xml:space="preserve">    </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201"/>
              </w:numPr>
              <w:spacing w:before="0" w:after="0" w:line="240"/>
              <w:ind w:right="0" w:left="360"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INDIVIDUALS AND PARTIES</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201"/>
              </w:numPr>
              <w:spacing w:before="0" w:after="0" w:line="240"/>
              <w:ind w:right="0" w:left="709"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WORKERS</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1)Duty of care to fellow workers and PCBU's to make sure work place is a safe and risk free enviroment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2)All workers are entitled to be in a safe enviroment in which to coduct thier work business</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3)All workers on the site are obliged to access and determine health hazards or risks and if any report the WH&amp;S authority in place at work place</w:t>
            </w:r>
            <w:r>
              <w:rPr>
                <w:rFonts w:ascii="Calibri" w:hAnsi="Calibri" w:cs="Calibri" w:eastAsia="Calibri"/>
                <w:color w:val="auto"/>
                <w:spacing w:val="0"/>
                <w:position w:val="0"/>
                <w:sz w:val="22"/>
                <w:shd w:fill="auto" w:val="clear"/>
              </w:rPr>
              <w:t xml:space="preserve">    </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210"/>
              </w:numPr>
              <w:spacing w:before="0" w:after="0" w:line="240"/>
              <w:ind w:right="0" w:left="709"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PERSONS CONDUCTING BUSINESSES OR UNDERTAKINGS (PCBUs) OR THEIR OFFICERS</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1)PCBU's have a duty of care to its workers in which a safe work enviroment to all concerned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2)PCBU's have a right to expect all workers adhere to policies in which to keep and maintain a safe enviroment in which to work</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3)PCBU's are  required by Legislation to adhere to laws set down by the act of 2011 in which all workplaces are to be risk and safety first to which the workplace can achieve in all practiabilty</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216"/>
              </w:numPr>
              <w:spacing w:before="0" w:after="0" w:line="240"/>
              <w:ind w:right="0" w:left="360"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COMPLIANCE</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216"/>
              </w:numPr>
              <w:spacing w:before="0" w:after="0" w:line="240"/>
              <w:ind w:right="0" w:left="709"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WORKERS</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workers are to be assessed yearly in which any updates are to be addressed and make sure all revelant tickets are held by so worker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2)workers will have updated training yearly in which to refresh in accordance whith legislation updates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3)workplaces will provide support to said workers in a way to which is beneficial to both parties whether it being internal or outsourced</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4)workplaces will liase with trainers by asking for updates and if there will be any further training needed in which to enhance the worker</w:t>
            </w:r>
            <w:r>
              <w:rPr>
                <w:rFonts w:ascii="Calibri" w:hAnsi="Calibri" w:cs="Calibri" w:eastAsia="Calibri"/>
                <w:color w:val="auto"/>
                <w:spacing w:val="0"/>
                <w:position w:val="0"/>
                <w:sz w:val="22"/>
                <w:shd w:fill="auto" w:val="clear"/>
              </w:rPr>
              <w:t xml:space="preserve">     </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225"/>
              </w:numPr>
              <w:spacing w:before="0" w:after="0" w:line="240"/>
              <w:ind w:right="0" w:left="709"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PERSONS CONDUCTING BUSINESSES OR UNDERTAKINGS (PCBUs) OR THEIR OFFICERS</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1)a PCUB is required by law to ensure that all revelant  updates to the legislation are obtained and adhed to and passed on to thier</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revelant whs officers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2)training assessed yearly by training to make sure the laws are updated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3)support in training internally or outsourced or by subscribing to various internet sites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4)liasing can be by phone,internet or getting informed by writing if more training is needed </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231"/>
              </w:numPr>
              <w:spacing w:before="0" w:after="0" w:line="240"/>
              <w:ind w:right="0" w:left="360"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CONCLUSION</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laws are revelant to the smooth running of this company in which it ensures all persons involved will have a safe and risk free enviroment in which to work</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workers and PCBU's have a duty of care to all so it can be a safe and risk free enviroment in which they can feel safe without harm under the legislation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legislation requires that compliance and constant monitoring is in the best interest of the workers and PCBU's for a safe and risk free enviroment</w:t>
            </w:r>
            <w:r>
              <w:rPr>
                <w:rFonts w:ascii="Calibri" w:hAnsi="Calibri" w:cs="Calibri" w:eastAsia="Calibri"/>
                <w:color w:val="auto"/>
                <w:spacing w:val="0"/>
                <w:position w:val="0"/>
                <w:sz w:val="22"/>
                <w:shd w:fill="auto" w:val="clear"/>
              </w:rPr>
              <w:t xml:space="preserve">  </w:t>
            </w:r>
          </w:p>
        </w:tc>
      </w:tr>
    </w:tbl>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the objectives and principles underpinning WHS? </w:t>
              <w:br/>
              <w:t xml:space="preserve">Select the most appropriate response.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To ensure that people receive a large compensation payment when </w:t>
              <w:tab/>
              <w:tab/>
              <w:tab/>
              <w:t xml:space="preserve">injured.</w:t>
              <w:br/>
              <w:tab/>
              <w:t xml:space="preserve"> </w:t>
              <w:tab/>
              <w:t xml:space="preserve">To create barriers for businesses in their day-to-day operations.</w:t>
              <w:br/>
              <w:tab/>
              <w:t xml:space="preserve"> 1</w:t>
              <w:tab/>
              <w:t xml:space="preserve">To assign responsibilities and confirm rights of those in the workplace, </w:t>
              <w:tab/>
              <w:tab/>
              <w:tab/>
              <w:t xml:space="preserve">with regards to safety. </w:t>
              <w:br/>
              <w:tab/>
              <w:t xml:space="preserve"> 2</w:t>
              <w:tab/>
              <w:t xml:space="preserve">To provide specific ways in which everything in the workplace must be </w:t>
              <w:tab/>
              <w:tab/>
              <w:tab/>
              <w:t xml:space="preserve">conducted.</w:t>
            </w:r>
          </w:p>
          <w:p>
            <w:pPr>
              <w:spacing w:before="0" w:after="0" w:line="240"/>
              <w:ind w:right="0" w:left="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providing advice on WHS in the workplace, which of the following sources would you refer to for guidance? Select all that apply.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Inspectors</w:t>
              <w:br/>
              <w:tab/>
              <w:t xml:space="preserve"> 1</w:t>
              <w:tab/>
              <w:t xml:space="preserve">Legislation</w:t>
              <w:br/>
              <w:tab/>
              <w:t xml:space="preserve">2 </w:t>
              <w:tab/>
              <w:t xml:space="preserve">Codes of practice</w:t>
              <w:br/>
              <w:tab/>
              <w:t xml:space="preserve">3 </w:t>
              <w:tab/>
              <w:t xml:space="preserve">Policies and procedures</w:t>
            </w:r>
          </w:p>
          <w:p>
            <w:pPr>
              <w:spacing w:before="0" w:after="0" w:line="240"/>
              <w:ind w:right="0" w:left="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2"/>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functions and powers of the WHS regulator? </w:t>
              <w:br/>
              <w:t xml:space="preserve">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8"/>
                <w:shd w:fill="auto" w:val="clear"/>
              </w:rPr>
              <w:tab/>
            </w:r>
            <w:r>
              <w:rPr>
                <w:rFonts w:ascii="Calibri" w:hAnsi="Calibri" w:cs="Calibri" w:eastAsia="Calibri"/>
                <w:color w:val="auto"/>
                <w:spacing w:val="0"/>
                <w:position w:val="0"/>
                <w:sz w:val="22"/>
                <w:shd w:fill="auto" w:val="clear"/>
              </w:rPr>
              <w:t xml:space="preserve"> 1</w:t>
              <w:tab/>
              <w:t xml:space="preserve">To enforce WHS law</w:t>
              <w:br/>
              <w:tab/>
              <w:t xml:space="preserve"> 2</w:t>
              <w:tab/>
              <w:t xml:space="preserve">To promote compliance with WHS law</w:t>
              <w:br/>
              <w:tab/>
              <w:t xml:space="preserve"> </w:t>
              <w:tab/>
              <w:t xml:space="preserve">To represent you in court if you breach WHS law</w:t>
              <w:br/>
              <w:tab/>
              <w:t xml:space="preserve"> </w:t>
              <w:tab/>
              <w:t xml:space="preserve">To supply WHS equipment</w:t>
            </w:r>
          </w:p>
          <w:p>
            <w:pPr>
              <w:spacing w:before="0" w:after="0" w:line="240"/>
              <w:ind w:right="0" w:left="360" w:firstLine="0"/>
              <w:jc w:val="left"/>
              <w:rPr>
                <w:rFonts w:ascii="Calibri" w:hAnsi="Calibri" w:cs="Calibri" w:eastAsia="Calibri"/>
                <w:color w:val="auto"/>
                <w:spacing w:val="0"/>
                <w:position w:val="0"/>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6"/>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methods can be used to advise others about WHS compliance? 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8"/>
                <w:shd w:fill="auto" w:val="clear"/>
              </w:rPr>
              <w:tab/>
              <w:t xml:space="preserve">1</w:t>
            </w:r>
            <w:r>
              <w:rPr>
                <w:rFonts w:ascii="Calibri" w:hAnsi="Calibri" w:cs="Calibri" w:eastAsia="Calibri"/>
                <w:color w:val="auto"/>
                <w:spacing w:val="0"/>
                <w:position w:val="0"/>
                <w:sz w:val="22"/>
                <w:shd w:fill="auto" w:val="clear"/>
              </w:rPr>
              <w:t xml:space="preserve"> </w:t>
              <w:tab/>
              <w:t xml:space="preserve">Training sessions for all staff</w:t>
              <w:br/>
              <w:tab/>
              <w:t xml:space="preserve"> </w:t>
              <w:tab/>
              <w:t xml:space="preserve">Emails about changes to laws</w:t>
              <w:br/>
              <w:tab/>
              <w:t xml:space="preserve"> </w:t>
              <w:tab/>
              <w:t xml:space="preserve">A suggestion box to allow workers to raise inadequacies</w:t>
              <w:br/>
              <w:tab/>
              <w:t xml:space="preserve"> 2</w:t>
              <w:tab/>
              <w:t xml:space="preserve">Having a legal advisor speak at a staff meeting</w:t>
            </w:r>
          </w:p>
          <w:p>
            <w:pPr>
              <w:spacing w:before="0" w:after="0" w:line="240"/>
              <w:ind w:right="0" w:left="0" w:firstLine="0"/>
              <w:jc w:val="left"/>
              <w:rPr>
                <w:rFonts w:ascii="Calibri" w:hAnsi="Calibri" w:cs="Calibri" w:eastAsia="Calibri"/>
                <w:color w:val="auto"/>
                <w:spacing w:val="0"/>
                <w:position w:val="0"/>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all levels of a workplace (e.g. PCBUs down to the worker level) be involved in developing and implementing changes to workplace policies, procedures, processes and systems in order to achieve compliance?</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tab/>
              <w:t xml:space="preserve"> 1</w:t>
              <w:tab/>
              <w:t xml:space="preserve">Yes</w:t>
              <w:br/>
              <w:tab/>
              <w:t xml:space="preserve"> </w:t>
              <w:tab/>
              <w:t xml:space="preserve">No</w:t>
            </w:r>
          </w:p>
          <w:p>
            <w:pPr>
              <w:spacing w:before="0" w:after="0" w:line="240"/>
              <w:ind w:right="0" w:left="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Order the following elements of the WHS legal framework from the most legally enforceable to the least legally enforceable (1 = most enforceable; 5 = least enforceable). </w:t>
            </w:r>
          </w:p>
          <w:tbl>
            <w:tblPr/>
            <w:tblGrid>
              <w:gridCol w:w="1903"/>
              <w:gridCol w:w="4253"/>
            </w:tblGrid>
            <w:tr>
              <w:trPr>
                <w:trHeight w:val="1" w:hRule="atLeast"/>
                <w:jc w:val="center"/>
              </w:trPr>
              <w:tc>
                <w:tcPr>
                  <w:tcW w:w="19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Rank (1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5)</w:t>
                  </w:r>
                </w:p>
              </w:tc>
              <w:tc>
                <w:tcPr>
                  <w:tcW w:w="425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Element</w:t>
                  </w:r>
                </w:p>
              </w:tc>
            </w:tr>
            <w:tr>
              <w:trPr>
                <w:trHeight w:val="1" w:hRule="atLeast"/>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w:t>
                  </w:r>
                </w:p>
              </w:tc>
              <w:tc>
                <w:tcPr>
                  <w:tcW w:w="42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Policies and procedures</w:t>
                  </w:r>
                </w:p>
              </w:tc>
            </w:tr>
            <w:tr>
              <w:trPr>
                <w:trHeight w:val="1" w:hRule="atLeast"/>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w:t>
                  </w:r>
                </w:p>
              </w:tc>
              <w:tc>
                <w:tcPr>
                  <w:tcW w:w="42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Code of practice</w:t>
                  </w:r>
                </w:p>
              </w:tc>
            </w:tr>
            <w:tr>
              <w:trPr>
                <w:trHeight w:val="1" w:hRule="atLeast"/>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w:t>
                  </w:r>
                </w:p>
              </w:tc>
              <w:tc>
                <w:tcPr>
                  <w:tcW w:w="42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Standard</w:t>
                  </w:r>
                </w:p>
              </w:tc>
            </w:tr>
            <w:tr>
              <w:trPr>
                <w:trHeight w:val="1" w:hRule="atLeast"/>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1</w:t>
                  </w:r>
                </w:p>
              </w:tc>
              <w:tc>
                <w:tcPr>
                  <w:tcW w:w="42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Act</w:t>
                  </w:r>
                </w:p>
              </w:tc>
            </w:tr>
            <w:tr>
              <w:trPr>
                <w:trHeight w:val="1" w:hRule="atLeast"/>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w:t>
                  </w:r>
                </w:p>
              </w:tc>
              <w:tc>
                <w:tcPr>
                  <w:tcW w:w="42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Regulation</w:t>
                  </w: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num w:numId="32">
    <w:abstractNumId w:val="174"/>
  </w:num>
  <w:num w:numId="41">
    <w:abstractNumId w:val="168"/>
  </w:num>
  <w:num w:numId="45">
    <w:abstractNumId w:val="162"/>
  </w:num>
  <w:num w:numId="48">
    <w:abstractNumId w:val="156"/>
  </w:num>
  <w:num w:numId="52">
    <w:abstractNumId w:val="150"/>
  </w:num>
  <w:num w:numId="67">
    <w:abstractNumId w:val="144"/>
  </w:num>
  <w:num w:numId="70">
    <w:abstractNumId w:val="138"/>
  </w:num>
  <w:num w:numId="98">
    <w:abstractNumId w:val="132"/>
  </w:num>
  <w:num w:numId="101">
    <w:abstractNumId w:val="126"/>
  </w:num>
  <w:num w:numId="131">
    <w:abstractNumId w:val="120"/>
  </w:num>
  <w:num w:numId="135">
    <w:abstractNumId w:val="114"/>
  </w:num>
  <w:num w:numId="137">
    <w:abstractNumId w:val="108"/>
  </w:num>
  <w:num w:numId="162">
    <w:abstractNumId w:val="102"/>
  </w:num>
  <w:num w:numId="166">
    <w:abstractNumId w:val="96"/>
  </w:num>
  <w:num w:numId="183">
    <w:abstractNumId w:val="90"/>
  </w:num>
  <w:num w:numId="189">
    <w:abstractNumId w:val="84"/>
  </w:num>
  <w:num w:numId="195">
    <w:abstractNumId w:val="78"/>
  </w:num>
  <w:num w:numId="201">
    <w:abstractNumId w:val="72"/>
  </w:num>
  <w:num w:numId="204">
    <w:abstractNumId w:val="66"/>
  </w:num>
  <w:num w:numId="210">
    <w:abstractNumId w:val="60"/>
  </w:num>
  <w:num w:numId="216">
    <w:abstractNumId w:val="54"/>
  </w:num>
  <w:num w:numId="219">
    <w:abstractNumId w:val="48"/>
  </w:num>
  <w:num w:numId="225">
    <w:abstractNumId w:val="42"/>
  </w:num>
  <w:num w:numId="231">
    <w:abstractNumId w:val="36"/>
  </w:num>
  <w:num w:numId="254">
    <w:abstractNumId w:val="30"/>
  </w:num>
  <w:num w:numId="258">
    <w:abstractNumId w:val="24"/>
  </w:num>
  <w:num w:numId="262">
    <w:abstractNumId w:val="18"/>
  </w:num>
  <w:num w:numId="266">
    <w:abstractNumId w:val="12"/>
  </w:num>
  <w:num w:numId="271">
    <w:abstractNumId w:val="6"/>
  </w:num>
  <w:num w:numId="27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numbering.xml" Id="docRId7" Type="http://schemas.openxmlformats.org/officeDocument/2006/relationships/numbering"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www.legislation.qld.gov.au/" Id="docRId4" Type="http://schemas.openxmlformats.org/officeDocument/2006/relationships/hyperlink" /><Relationship TargetMode="External" Target="http://www.legislation.qld.gov.au/" Id="docRId6" Type="http://schemas.openxmlformats.org/officeDocument/2006/relationships/hyperlink" /><Relationship Target="styles.xml" Id="docRId8" Type="http://schemas.openxmlformats.org/officeDocument/2006/relationships/styles" /><Relationship Target="media/image0.wmf" Id="docRId1" Type="http://schemas.openxmlformats.org/officeDocument/2006/relationships/image" /><Relationship TargetMode="External" Target="http://www.legislation.qld.gov.au/" Id="docRId5" Type="http://schemas.openxmlformats.org/officeDocument/2006/relationships/hyperlink" /></Relationships>
</file>