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2"/>
          <w:shd w:fill="auto" w:val="clear"/>
        </w:rPr>
      </w:pPr>
      <w:r>
        <w:object w:dxaOrig="1032" w:dyaOrig="992">
          <v:rect xmlns:o="urn:schemas-microsoft-com:office:office" xmlns:v="urn:schemas-microsoft-com:vml" id="rectole0000000000" style="width:51.600000pt;height:49.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10184" w:dyaOrig="6074">
          <v:rect xmlns:o="urn:schemas-microsoft-com:office:office" xmlns:v="urn:schemas-microsoft-com:vml" id="rectole0000000001" style="width:509.200000pt;height:303.7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 </w:t>
      </w:r>
    </w:p>
    <w:p>
      <w:pPr>
        <w:spacing w:before="0" w:after="0" w:line="240"/>
        <w:ind w:right="0" w:left="0" w:firstLine="0"/>
        <w:jc w:val="left"/>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r>
        <w:object w:dxaOrig="3239" w:dyaOrig="3219">
          <v:rect xmlns:o="urn:schemas-microsoft-com:office:office" xmlns:v="urn:schemas-microsoft-com:vml" id="rectole0000000002" style="width:161.950000pt;height:160.9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left"/>
        <w:rPr>
          <w:rFonts w:ascii="Arial" w:hAnsi="Arial" w:cs="Arial" w:eastAsia="Arial"/>
          <w:b/>
          <w:color w:val="FF9B0D"/>
          <w:spacing w:val="0"/>
          <w:position w:val="0"/>
          <w:sz w:val="40"/>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left"/>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20"/>
          <w:shd w:fill="auto" w:val="clear"/>
        </w:rPr>
        <w:t xml:space="preserve">Copyright © 2015 CSTC Pty Ltd</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both"/>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All rights reserved.  No part of the contents of this publication may be reproduced or used in any form or by any means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graphic, electronic, or mechanical including photocopying, digitizing, recording, or information storage-and-retrieval systems </w:t>
      </w:r>
      <w:r>
        <w:rPr>
          <w:rFonts w:ascii="Arial" w:hAnsi="Arial" w:cs="Arial" w:eastAsia="Arial"/>
          <w:color w:val="auto"/>
          <w:spacing w:val="0"/>
          <w:position w:val="0"/>
          <w:sz w:val="20"/>
          <w:shd w:fill="auto" w:val="clear"/>
        </w:rPr>
        <w:t xml:space="preserve">–</w:t>
      </w:r>
      <w:r>
        <w:rPr>
          <w:rFonts w:ascii="Arial" w:hAnsi="Arial" w:cs="Arial" w:eastAsia="Arial"/>
          <w:color w:val="auto"/>
          <w:spacing w:val="0"/>
          <w:position w:val="0"/>
          <w:sz w:val="20"/>
          <w:shd w:fill="auto" w:val="clear"/>
        </w:rPr>
        <w:t xml:space="preserve"> without the written permission of CSTC Pty Ltd. </w:t>
      </w:r>
    </w:p>
    <w:p>
      <w:pPr>
        <w:spacing w:before="0" w:after="0" w:line="240"/>
        <w:ind w:right="0" w:left="0" w:firstLine="0"/>
        <w:jc w:val="both"/>
        <w:rPr>
          <w:rFonts w:ascii="Arial" w:hAnsi="Arial" w:cs="Arial" w:eastAsia="Arial"/>
          <w:color w:val="auto"/>
          <w:spacing w:val="0"/>
          <w:position w:val="0"/>
          <w:sz w:val="22"/>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p>
    <w:p>
      <w:pPr>
        <w:spacing w:before="0" w:after="0" w:line="240"/>
        <w:ind w:right="0" w:left="0" w:firstLine="0"/>
        <w:jc w:val="center"/>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This learning product could only be made possible because of the dedicated CSTC team.</w:t>
      </w:r>
    </w:p>
    <w:p>
      <w:pPr>
        <w:spacing w:before="0" w:after="0" w:line="240"/>
        <w:ind w:right="0" w:left="0" w:firstLine="0"/>
        <w:jc w:val="center"/>
        <w:rPr>
          <w:rFonts w:ascii="Calibri" w:hAnsi="Calibri" w:cs="Calibri" w:eastAsia="Calibri"/>
          <w:b/>
          <w:color w:val="auto"/>
          <w:spacing w:val="0"/>
          <w:position w:val="0"/>
          <w:sz w:val="22"/>
          <w:shd w:fill="232F84" w:val="clear"/>
        </w:rPr>
      </w:pPr>
      <w:r>
        <w:rPr>
          <w:rFonts w:ascii="Calibri" w:hAnsi="Calibri" w:cs="Calibri" w:eastAsia="Calibri"/>
          <w:b/>
          <w:color w:val="auto"/>
          <w:spacing w:val="0"/>
          <w:position w:val="0"/>
          <w:sz w:val="22"/>
          <w:shd w:fill="232F84" w:val="clear"/>
        </w:rPr>
        <w:t xml:space="preserve">ASSESSMENT FOR BSBWHS407A</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Student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Glenn Roberts</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assessment submission    12/09/15</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085"/>
        <w:gridCol w:w="6150"/>
      </w:tblGrid>
      <w:tr>
        <w:trPr>
          <w:trHeight w:val="260" w:hRule="auto"/>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Trainer/Assessor’s name</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Date of assessment marking</w:t>
            </w:r>
          </w:p>
        </w:tc>
      </w:tr>
      <w:tr>
        <w:trPr>
          <w:trHeight w:val="1" w:hRule="atLeast"/>
          <w:jc w:val="left"/>
        </w:trPr>
        <w:tc>
          <w:tcPr>
            <w:tcW w:w="30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unit</w:t>
            </w:r>
          </w:p>
        </w:tc>
        <w:tc>
          <w:tcPr>
            <w:tcW w:w="615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Competent</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Yet Competent</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TASK INSTRUCTIONS</w:t>
      </w:r>
    </w:p>
    <w:p>
      <w:pPr>
        <w:spacing w:before="0" w:after="0" w:line="240"/>
        <w:ind w:right="0" w:left="0" w:firstLine="0"/>
        <w:jc w:val="left"/>
        <w:rPr>
          <w:rFonts w:ascii="Calibri" w:hAnsi="Calibri" w:cs="Calibri" w:eastAsia="Calibri"/>
          <w:color w:val="auto"/>
          <w:spacing w:val="0"/>
          <w:position w:val="0"/>
          <w:sz w:val="22"/>
          <w:shd w:fill="auto" w:val="clear"/>
        </w:rPr>
      </w:pPr>
    </w:p>
    <w:p>
      <w:pPr>
        <w:numPr>
          <w:ilvl w:val="0"/>
          <w:numId w:val="3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assessment for this unit of competency consists of the following:</w:t>
      </w:r>
    </w:p>
    <w:p>
      <w:pPr>
        <w:numPr>
          <w:ilvl w:val="0"/>
          <w:numId w:val="31"/>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A series of activities:</w:t>
      </w:r>
      <w:r>
        <w:rPr>
          <w:rFonts w:ascii="Calibri" w:hAnsi="Calibri" w:cs="Calibri" w:eastAsia="Calibri"/>
          <w:color w:val="auto"/>
          <w:spacing w:val="0"/>
          <w:position w:val="0"/>
          <w:sz w:val="22"/>
          <w:shd w:fill="auto" w:val="clear"/>
        </w:rPr>
        <w:t xml:space="preserve"> Some of these activities will require you to provide a response within this document, others will require you to gather evidence to demonstrate your knowledge and skills (overview below)</w:t>
      </w:r>
    </w:p>
    <w:p>
      <w:pPr>
        <w:numPr>
          <w:ilvl w:val="0"/>
          <w:numId w:val="31"/>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Quiz: </w:t>
      </w:r>
      <w:r>
        <w:rPr>
          <w:rFonts w:ascii="Calibri" w:hAnsi="Calibri" w:cs="Calibri" w:eastAsia="Calibri"/>
          <w:color w:val="auto"/>
          <w:spacing w:val="0"/>
          <w:position w:val="0"/>
          <w:sz w:val="22"/>
          <w:shd w:fill="auto" w:val="clear"/>
        </w:rPr>
        <w:t xml:space="preserve">You will be required to complete a series of questions to demonstrate your knowledge and skills. </w:t>
      </w:r>
    </w:p>
    <w:p>
      <w:pPr>
        <w:numPr>
          <w:ilvl w:val="0"/>
          <w:numId w:val="31"/>
        </w:numPr>
        <w:spacing w:before="0" w:after="0" w:line="240"/>
        <w:ind w:right="0" w:left="1080" w:hanging="36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Third Party Report:</w:t>
      </w:r>
      <w:r>
        <w:rPr>
          <w:rFonts w:ascii="Calibri" w:hAnsi="Calibri" w:cs="Calibri" w:eastAsia="Calibri"/>
          <w:color w:val="auto"/>
          <w:spacing w:val="0"/>
          <w:position w:val="0"/>
          <w:sz w:val="22"/>
          <w:shd w:fill="auto" w:val="clear"/>
        </w:rPr>
        <w:t xml:space="preserve"> You will be required to have a third party attest to your knowledge and skills and sign a report to this effect. </w:t>
      </w:r>
    </w:p>
    <w:p>
      <w:pPr>
        <w:numPr>
          <w:ilvl w:val="0"/>
          <w:numId w:val="3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times, you will be provided with a specific business context to which you must respond, otherwise it is anticipated that you will use a workplace of your choosing (your own, or hypothetical) to provide the context to the task.</w:t>
      </w:r>
    </w:p>
    <w:p>
      <w:pPr>
        <w:numPr>
          <w:ilvl w:val="0"/>
          <w:numId w:val="31"/>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At all times, the responses in your assessment must reference </w:t>
      </w:r>
      <w:r>
        <w:rPr>
          <w:rFonts w:ascii="Calibri" w:hAnsi="Calibri" w:cs="Calibri" w:eastAsia="Calibri"/>
          <w:b/>
          <w:color w:val="auto"/>
          <w:spacing w:val="0"/>
          <w:position w:val="0"/>
          <w:sz w:val="22"/>
          <w:shd w:fill="auto" w:val="clear"/>
        </w:rPr>
        <w:t xml:space="preserve">Australian </w:t>
      </w:r>
      <w:r>
        <w:rPr>
          <w:rFonts w:ascii="Calibri" w:hAnsi="Calibri" w:cs="Calibri" w:eastAsia="Calibri"/>
          <w:color w:val="auto"/>
          <w:spacing w:val="0"/>
          <w:position w:val="0"/>
          <w:sz w:val="22"/>
          <w:shd w:fill="auto" w:val="clear"/>
        </w:rPr>
        <w:t xml:space="preserve">(Queensland or Federal) documentation, including legislation, regulations, codes of practice, standards and guidance publications.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508"/>
        <w:gridCol w:w="4741"/>
      </w:tblGrid>
      <w:tr>
        <w:trPr>
          <w:trHeight w:val="1" w:hRule="atLeast"/>
          <w:jc w:val="left"/>
        </w:trPr>
        <w:tc>
          <w:tcPr>
            <w:tcW w:w="4508"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ACTIVITY OVERVIEW</w:t>
            </w:r>
          </w:p>
        </w:tc>
        <w:tc>
          <w:tcPr>
            <w:tcW w:w="4741"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REQUIRED FOR SUBMISSION</w:t>
            </w:r>
          </w:p>
        </w:tc>
      </w:tr>
      <w:tr>
        <w:trPr>
          <w:trHeight w:val="102"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Processing claims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Assisting with managing claims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70"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426"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Design of return-to-work program</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Facilitating consultation</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Addressing breaches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r>
        <w:trPr>
          <w:trHeight w:val="273" w:hRule="auto"/>
          <w:jc w:val="left"/>
        </w:trPr>
        <w:tc>
          <w:tcPr>
            <w:tcW w:w="4508"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426"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Evaluation of programs</w:t>
            </w:r>
          </w:p>
        </w:tc>
        <w:tc>
          <w:tcPr>
            <w:tcW w:w="4741"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numPr>
                <w:ilvl w:val="0"/>
                <w:numId w:val="39"/>
              </w:numPr>
              <w:spacing w:before="0" w:after="0" w:line="240"/>
              <w:ind w:right="0" w:left="720"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Workbook response (below)</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ACTIVITIES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the following activities, you will assume the role of a workgroup supervisor in a workplace of your choosing (see example organisational chart below).</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Name a workplace and workgroup that you are (or hypothetically are) the supervisor for: </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workplace</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Workgroup</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Also, identify a (hypothetical) worker who is injured and seeking compensation. Their injury must be serious enough to prevent them from returning to the same duties upon their return to work:</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Role of injured party</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office worker</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Describe their </w:t>
              <w:br/>
              <w:t xml:space="preserve">pre-injury duties</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truck driver</w:t>
            </w:r>
            <w:r>
              <w:rPr>
                <w:rFonts w:ascii="Calibri" w:hAnsi="Calibri" w:cs="Calibri" w:eastAsia="Calibri"/>
                <w:color w:val="auto"/>
                <w:spacing w:val="0"/>
                <w:position w:val="0"/>
                <w:sz w:val="22"/>
                <w:shd w:fill="auto" w:val="clear"/>
              </w:rPr>
              <w:t xml:space="preserve">     </w:t>
            </w:r>
          </w:p>
        </w:tc>
      </w:tr>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Describe injury that has been sustained by worker</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loss of leg after jack giving way whilst changing tyre</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86"/>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For each of the categories below (i.e. processing claims, notifying rehabilitation provider and preparing forms/reports), identify and explain the requirements with respect to workers’ compensation claims:</w:t>
            </w:r>
          </w:p>
          <w:p>
            <w:pPr>
              <w:numPr>
                <w:ilvl w:val="0"/>
                <w:numId w:val="90"/>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Organisational policy</w:t>
            </w:r>
          </w:p>
          <w:p>
            <w:pPr>
              <w:numPr>
                <w:ilvl w:val="0"/>
                <w:numId w:val="90"/>
              </w:numPr>
              <w:spacing w:before="0" w:after="0" w:line="240"/>
              <w:ind w:right="0" w:left="709"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Organisational procedure</w:t>
            </w:r>
          </w:p>
          <w:p>
            <w:pPr>
              <w:numPr>
                <w:ilvl w:val="0"/>
                <w:numId w:val="90"/>
              </w:numPr>
              <w:spacing w:before="0" w:after="0" w:line="240"/>
              <w:ind w:right="0" w:left="709" w:hanging="36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Legal / Workers’ compensation insurance requirement</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1489"/>
        <w:gridCol w:w="2584"/>
        <w:gridCol w:w="2584"/>
        <w:gridCol w:w="2585"/>
      </w:tblGrid>
      <w:tr>
        <w:trPr>
          <w:trHeight w:val="1" w:hRule="atLeast"/>
          <w:jc w:val="left"/>
        </w:trPr>
        <w:tc>
          <w:tcPr>
            <w:tcW w:w="1489"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58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Processing claims</w:t>
            </w:r>
          </w:p>
        </w:tc>
        <w:tc>
          <w:tcPr>
            <w:tcW w:w="2584"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Notifying rehabilitation provider</w:t>
            </w:r>
          </w:p>
        </w:tc>
        <w:tc>
          <w:tcPr>
            <w:tcW w:w="2585"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Forms / Reports</w:t>
            </w:r>
          </w:p>
        </w:tc>
      </w:tr>
      <w:tr>
        <w:trPr>
          <w:trHeight w:val="1134" w:hRule="auto"/>
          <w:jc w:val="left"/>
        </w:trPr>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Policy</w:t>
            </w:r>
          </w:p>
        </w:tc>
        <w:tc>
          <w:tcPr>
            <w:tcW w:w="25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notify employer of injury as soon as possible</w:t>
            </w:r>
            <w:r>
              <w:rPr>
                <w:rFonts w:ascii="Calibri" w:hAnsi="Calibri" w:cs="Calibri" w:eastAsia="Calibri"/>
                <w:color w:val="auto"/>
                <w:spacing w:val="0"/>
                <w:position w:val="0"/>
                <w:sz w:val="22"/>
                <w:shd w:fill="auto" w:val="clear"/>
              </w:rPr>
              <w:t xml:space="preserve">     </w:t>
            </w:r>
          </w:p>
        </w:tc>
        <w:tc>
          <w:tcPr>
            <w:tcW w:w="25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 a doctor and have the doctor complete workcover certificate</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c>
          <w:tcPr>
            <w:tcW w:w="25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workcover certificate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injury report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Procedure</w:t>
            </w:r>
          </w:p>
        </w:tc>
        <w:tc>
          <w:tcPr>
            <w:tcW w:w="25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first aid and/or transport to doctor</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record in register of injuries</w:t>
            </w:r>
            <w:r>
              <w:rPr>
                <w:rFonts w:ascii="Calibri" w:hAnsi="Calibri" w:cs="Calibri" w:eastAsia="Calibri"/>
                <w:color w:val="auto"/>
                <w:spacing w:val="0"/>
                <w:position w:val="0"/>
                <w:sz w:val="22"/>
                <w:shd w:fill="auto" w:val="clear"/>
              </w:rPr>
              <w:t xml:space="preserve">     </w:t>
            </w:r>
          </w:p>
        </w:tc>
        <w:tc>
          <w:tcPr>
            <w:tcW w:w="25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employer to notify the scheme agent </w:t>
            </w:r>
            <w:r>
              <w:rPr>
                <w:rFonts w:ascii="Calibri" w:hAnsi="Calibri" w:cs="Calibri" w:eastAsia="Calibri"/>
                <w:color w:val="auto"/>
                <w:spacing w:val="0"/>
                <w:position w:val="0"/>
                <w:sz w:val="22"/>
                <w:shd w:fill="auto" w:val="clear"/>
              </w:rPr>
              <w:t xml:space="preserve">   </w:t>
            </w:r>
          </w:p>
        </w:tc>
        <w:tc>
          <w:tcPr>
            <w:tcW w:w="25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certificates  and associated expenses and bills given to employer</w:t>
            </w:r>
            <w:r>
              <w:rPr>
                <w:rFonts w:ascii="Calibri" w:hAnsi="Calibri" w:cs="Calibri" w:eastAsia="Calibri"/>
                <w:color w:val="auto"/>
                <w:spacing w:val="0"/>
                <w:position w:val="0"/>
                <w:sz w:val="22"/>
                <w:shd w:fill="auto" w:val="clear"/>
              </w:rPr>
              <w:t xml:space="preserve">     </w:t>
            </w:r>
          </w:p>
        </w:tc>
      </w:tr>
      <w:tr>
        <w:trPr>
          <w:trHeight w:val="1134" w:hRule="auto"/>
          <w:jc w:val="left"/>
        </w:trPr>
        <w:tc>
          <w:tcPr>
            <w:tcW w:w="14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Legal / Workers’ compensation insurance requirement</w:t>
            </w:r>
          </w:p>
        </w:tc>
        <w:tc>
          <w:tcPr>
            <w:tcW w:w="25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injury to be recorded in injury register </w:t>
            </w:r>
            <w:r>
              <w:rPr>
                <w:rFonts w:ascii="Calibri" w:hAnsi="Calibri" w:cs="Calibri" w:eastAsia="Calibri"/>
                <w:color w:val="auto"/>
                <w:spacing w:val="0"/>
                <w:position w:val="0"/>
                <w:sz w:val="22"/>
                <w:shd w:fill="auto" w:val="clear"/>
              </w:rPr>
              <w:t xml:space="preserve">    </w:t>
            </w:r>
          </w:p>
        </w:tc>
        <w:tc>
          <w:tcPr>
            <w:tcW w:w="258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employer or worker to inform scheme of injury with in 48 hours of injury being reported</w:t>
            </w:r>
            <w:r>
              <w:rPr>
                <w:rFonts w:ascii="Calibri" w:hAnsi="Calibri" w:cs="Calibri" w:eastAsia="Calibri"/>
                <w:color w:val="auto"/>
                <w:spacing w:val="0"/>
                <w:position w:val="0"/>
                <w:sz w:val="22"/>
                <w:shd w:fill="auto" w:val="clear"/>
              </w:rPr>
              <w:t xml:space="preserve"> </w:t>
            </w:r>
          </w:p>
        </w:tc>
        <w:tc>
          <w:tcPr>
            <w:tcW w:w="258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certificate</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workcover form </w:t>
            </w: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1</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1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your role, as a workgroup supervisor, with respect to the following tasks:</w:t>
            </w:r>
          </w:p>
          <w:p>
            <w:pPr>
              <w:numPr>
                <w:ilvl w:val="0"/>
                <w:numId w:val="11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Analysis of claim</w:t>
            </w:r>
          </w:p>
          <w:p>
            <w:pPr>
              <w:numPr>
                <w:ilvl w:val="0"/>
                <w:numId w:val="11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Advising the claimant as to whether their claim has been accepted</w:t>
            </w:r>
          </w:p>
          <w:p>
            <w:pPr>
              <w:numPr>
                <w:ilvl w:val="0"/>
                <w:numId w:val="11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Estimating the projected period of absence from work </w:t>
            </w:r>
          </w:p>
          <w:p>
            <w:pPr>
              <w:numPr>
                <w:ilvl w:val="0"/>
                <w:numId w:val="118"/>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auto"/>
                <w:spacing w:val="0"/>
                <w:position w:val="0"/>
                <w:sz w:val="22"/>
                <w:shd w:fill="auto" w:val="clear"/>
              </w:rPr>
              <w:t xml:space="preserve">Helping ensure arrangements are made in the work team to deal with absence (where rehabilitation assistance is required)</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881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Explanation of your role</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consult with the injured worker as to the incident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make sure incident report is correct and reported properly</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ensure all investigation is recored to be true and factual</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interview potential witnesses and record truthfully</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constant contact with employer on outcomes of incident</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constant contact with injured worker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all round consultation with all parties involved</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all treating health health practioners and/or consult with injured worker</w:t>
            </w:r>
            <w:r>
              <w:rPr>
                <w:rFonts w:ascii="Calibri" w:hAnsi="Calibri" w:cs="Calibri" w:eastAsia="Calibri"/>
                <w:color w:val="auto"/>
                <w:spacing w:val="0"/>
                <w:position w:val="0"/>
                <w:sz w:val="22"/>
                <w:shd w:fill="auto" w:val="clear"/>
              </w:rPr>
              <w:t xml:space="preserve"> </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keeping in constant contact with on-site WHS represantive</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no injury is the same as another so each is different and shall be treated as so</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always ensure you have a trained staff member who can stand in or be trained in that particular job so not to have a long period of down time in case of absence</w:t>
            </w: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2</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44"/>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Referring to the injured worker you identified at the outset, elaborate on the following points:</w:t>
            </w:r>
          </w:p>
          <w:p>
            <w:pPr>
              <w:numPr>
                <w:ilvl w:val="0"/>
                <w:numId w:val="14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Identify the injured worker’s existing skills, experience and capabilities </w:t>
            </w:r>
          </w:p>
          <w:p>
            <w:pPr>
              <w:numPr>
                <w:ilvl w:val="0"/>
                <w:numId w:val="14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Explain how the worker’s job has been affected by their injury </w:t>
            </w:r>
          </w:p>
          <w:p>
            <w:pPr>
              <w:numPr>
                <w:ilvl w:val="0"/>
                <w:numId w:val="14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Explain how the worker’s job should be redesigned, including reduced hours and alternative duties</w:t>
            </w:r>
          </w:p>
          <w:p>
            <w:pPr>
              <w:numPr>
                <w:ilvl w:val="0"/>
                <w:numId w:val="148"/>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Identify retraining that is required, as the worker cannot return to pre-injury duties</w:t>
            </w:r>
          </w:p>
          <w:p>
            <w:pPr>
              <w:numPr>
                <w:ilvl w:val="0"/>
                <w:numId w:val="148"/>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auto"/>
                <w:spacing w:val="0"/>
                <w:position w:val="0"/>
                <w:sz w:val="22"/>
                <w:shd w:fill="auto" w:val="clear"/>
              </w:rPr>
              <w:t xml:space="preserve">Describe the timeframes in which their return-to-work program will commence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881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Summary</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HR records(staff profile records)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resume, training records. performance reviews, managers or site supervisors input</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worker can no longer driver a truck because loss of limb</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truck in question needing both legs as it is a manual transmission</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liasise with the worker suggesting reduced hours so that gradualy ease themslves back into work after injury and or suggest alternative position in said company depending on mindset and injury</w:t>
            </w:r>
          </w:p>
        </w:tc>
      </w:tr>
      <w:tr>
        <w:trPr>
          <w:trHeight w:val="1179"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consult with the injured worker with a number of options of positions that is avaiable in the said company and retrain and help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return to work time frame will depend on the well being</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and mindset of worker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but is in the workers best interest to return to work as soon as possible doing that will help in thier rehab and all over well being</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3</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177"/>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as a workgroup supervisor, plan and implement a rehabilitation or return-to-work program through:</w:t>
            </w:r>
          </w:p>
          <w:p>
            <w:pPr>
              <w:numPr>
                <w:ilvl w:val="0"/>
                <w:numId w:val="181"/>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Facilitating consultation between rehabilitation provider and treating doctor (and other health professionals)</w:t>
            </w:r>
          </w:p>
          <w:p>
            <w:pPr>
              <w:numPr>
                <w:ilvl w:val="0"/>
                <w:numId w:val="181"/>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Facilitating consultation between rehabilitation provider, managers and injured worker. </w:t>
            </w:r>
          </w:p>
          <w:p>
            <w:pPr>
              <w:numPr>
                <w:ilvl w:val="0"/>
                <w:numId w:val="181"/>
              </w:numPr>
              <w:spacing w:before="0" w:after="0" w:line="240"/>
              <w:ind w:right="0" w:left="72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Seeking advice from health and rehabilitation professionals</w:t>
            </w:r>
          </w:p>
          <w:p>
            <w:pPr>
              <w:numPr>
                <w:ilvl w:val="0"/>
                <w:numId w:val="181"/>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Consulting with relevant managers about the return-to-work program</w:t>
            </w:r>
          </w:p>
          <w:p>
            <w:pPr>
              <w:numPr>
                <w:ilvl w:val="0"/>
                <w:numId w:val="181"/>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Consulting with the injured party in establishing a rehabilitation or return-to-work program.</w:t>
            </w:r>
          </w:p>
          <w:p>
            <w:pPr>
              <w:numPr>
                <w:ilvl w:val="0"/>
                <w:numId w:val="181"/>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auto"/>
                <w:spacing w:val="0"/>
                <w:position w:val="0"/>
                <w:sz w:val="22"/>
                <w:shd w:fill="auto" w:val="clear"/>
              </w:rPr>
              <w:t xml:space="preserve">Facilitating regular communication and feedback between the rehabilitation provider, supervising manager and the injured worker</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881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Explanation of your role</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constant communication and updates on progress of rehabilitation  whether by reports,emails or letter also understanding injury restrictions as to what is capable by worker</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regular meetings with all involved as to what or progress is at and if updating of rehabilitation  needs  so the worker can keep working</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constant communiciation in regards to the workers needs and health mental or physicial  and or if more needs to be done whether retraining or more help</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d)</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regular meetings with regular updates on laws and constant updating of return to work programmes if nessary in accordance with legislations and rights of the workers and employers for the best outcome</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constant communiciation with worker to ensure all is being done to help in getting back to work mentally and or physically also if they think anything else needs to be done to ensure full rehabilitation </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f)</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regular meetings and making sure all revelant reports and evaluations are filed and all in an assesiable file with regular updates by all parties concerned</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4</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09"/>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a breach that could occur with respect to the return-to-work program.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Explain how you, as a workgroup supervisor, would (according to organisational policies, procedures and relevant legal and insurance requirements) undertake the following:</w:t>
            </w:r>
          </w:p>
          <w:p>
            <w:pPr>
              <w:numPr>
                <w:ilvl w:val="0"/>
                <w:numId w:val="213"/>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Identify and notify about breach to return-to-work program</w:t>
            </w:r>
          </w:p>
          <w:p>
            <w:pPr>
              <w:numPr>
                <w:ilvl w:val="0"/>
                <w:numId w:val="213"/>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Take remedial action for the breach</w:t>
            </w:r>
          </w:p>
          <w:p>
            <w:pPr>
              <w:numPr>
                <w:ilvl w:val="0"/>
                <w:numId w:val="213"/>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auto"/>
                <w:spacing w:val="0"/>
                <w:position w:val="0"/>
                <w:sz w:val="22"/>
                <w:shd w:fill="auto" w:val="clear"/>
              </w:rPr>
              <w:t xml:space="preserve">Modify the return-to-work program</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292"/>
        <w:gridCol w:w="6943"/>
      </w:tblGrid>
      <w:tr>
        <w:trPr>
          <w:trHeight w:val="1" w:hRule="atLeast"/>
          <w:jc w:val="left"/>
        </w:trPr>
        <w:tc>
          <w:tcPr>
            <w:tcW w:w="2292"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Breach to program</w:t>
            </w:r>
          </w:p>
        </w:tc>
        <w:tc>
          <w:tcPr>
            <w:tcW w:w="694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employer not knowing where injury register is all over the workplace</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881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Explanation of your role</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employer not knowing or wanting to be involved in return to work programm</w:t>
            </w: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by not having the injury register available</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ensure that there is a injury register available in all parts of organisation as outside workers in camp out situtations</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regular meetings in which all persons involved regularly report all registery inputs so that a main registery can be maintained constantly and updated so all can have easy assess in a timely manner</w:t>
            </w: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5</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tbl>
      <w:tblPr/>
      <w:tblGrid>
        <w:gridCol w:w="9235"/>
      </w:tblGrid>
      <w:tr>
        <w:trPr>
          <w:trHeight w:val="1" w:hRule="atLeast"/>
          <w:jc w:val="left"/>
        </w:trPr>
        <w:tc>
          <w:tcPr>
            <w:tcW w:w="9235"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numPr>
                <w:ilvl w:val="0"/>
                <w:numId w:val="241"/>
              </w:numPr>
              <w:spacing w:before="0" w:after="0" w:line="240"/>
              <w:ind w:right="0" w:left="397" w:hanging="397"/>
              <w:jc w:val="left"/>
              <w:rPr>
                <w:rFonts w:ascii="Calibri" w:hAnsi="Calibri" w:cs="Calibri" w:eastAsia="Calibri"/>
                <w:color w:val="auto"/>
                <w:spacing w:val="0"/>
                <w:position w:val="0"/>
                <w:sz w:val="22"/>
                <w:shd w:fill="auto" w:val="clear"/>
              </w:rPr>
            </w:pPr>
          </w:p>
        </w:tc>
      </w:tr>
      <w:tr>
        <w:trPr>
          <w:trHeight w:val="1" w:hRule="atLeast"/>
          <w:jc w:val="left"/>
        </w:trPr>
        <w:tc>
          <w:tcPr>
            <w:tcW w:w="9235" w:type="dxa"/>
            <w:tcBorders>
              <w:top w:val="single" w:color="000000" w:sz="4"/>
              <w:left w:val="single" w:color="000000" w:sz="4"/>
              <w:bottom w:val="single" w:color="000000" w:sz="4"/>
              <w:right w:val="single" w:color="000000" w:sz="4"/>
            </w:tcBorders>
            <w:shd w:color="auto" w:fill="ffe59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Describe the process of evaluation for rehabilitation and return-to-work programs.</w:t>
            </w:r>
          </w:p>
          <w:p>
            <w:pPr>
              <w:numPr>
                <w:ilvl w:val="0"/>
                <w:numId w:val="245"/>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Summarise the evaluation process you would undertake</w:t>
            </w:r>
          </w:p>
          <w:p>
            <w:pPr>
              <w:numPr>
                <w:ilvl w:val="0"/>
                <w:numId w:val="245"/>
              </w:numPr>
              <w:spacing w:before="0" w:after="0" w:line="240"/>
              <w:ind w:right="0" w:left="720" w:hanging="360"/>
              <w:jc w:val="left"/>
              <w:rPr>
                <w:rFonts w:ascii="Calibri" w:hAnsi="Calibri" w:cs="Calibri" w:eastAsia="Calibri"/>
                <w:color w:val="FF0000"/>
                <w:spacing w:val="0"/>
                <w:position w:val="0"/>
                <w:sz w:val="22"/>
                <w:shd w:fill="auto" w:val="clear"/>
              </w:rPr>
            </w:pPr>
            <w:r>
              <w:rPr>
                <w:rFonts w:ascii="Calibri" w:hAnsi="Calibri" w:cs="Calibri" w:eastAsia="Calibri"/>
                <w:color w:val="auto"/>
                <w:spacing w:val="0"/>
                <w:position w:val="0"/>
                <w:sz w:val="22"/>
                <w:shd w:fill="auto" w:val="clear"/>
              </w:rPr>
              <w:t xml:space="preserve">Explain how you  would implement recommendations to improve the system</w:t>
            </w:r>
          </w:p>
          <w:p>
            <w:pPr>
              <w:numPr>
                <w:ilvl w:val="0"/>
                <w:numId w:val="245"/>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auto"/>
                <w:spacing w:val="0"/>
                <w:position w:val="0"/>
                <w:sz w:val="22"/>
                <w:shd w:fill="auto" w:val="clear"/>
              </w:rPr>
              <w:t xml:space="preserve">Explain why having suitable rehabilitation and return-to-work is important for the worker, fellow workers and the employer</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403"/>
        <w:gridCol w:w="8818"/>
      </w:tblGrid>
      <w:tr>
        <w:trPr>
          <w:trHeight w:val="1" w:hRule="atLeast"/>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881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Explanation of your role</w:t>
            </w:r>
          </w:p>
        </w:tc>
      </w:tr>
      <w:tr>
        <w:trPr>
          <w:trHeight w:val="1149"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a)</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with the help of the rehabilitation regulator and medical practictioner and workers on what needs to be done to put into a return to work program suitable for the worker as all injuryies are all different</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b)</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with regular communiciation and meeting with worker and employer with up to date reports from rehabilitation persons involved in the process and implementation a regular meeting to ensure all is going to plan</w:t>
            </w:r>
            <w:r>
              <w:rPr>
                <w:rFonts w:ascii="Calibri" w:hAnsi="Calibri" w:cs="Calibri" w:eastAsia="Calibri"/>
                <w:color w:val="auto"/>
                <w:spacing w:val="0"/>
                <w:position w:val="0"/>
                <w:sz w:val="22"/>
                <w:shd w:fill="auto" w:val="clear"/>
              </w:rPr>
              <w:t xml:space="preserve">     </w:t>
            </w:r>
          </w:p>
        </w:tc>
      </w:tr>
      <w:tr>
        <w:trPr>
          <w:trHeight w:val="1134" w:hRule="auto"/>
          <w:jc w:val="left"/>
        </w:trPr>
        <w:tc>
          <w:tcPr>
            <w:tcW w:w="403"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w:t>
            </w:r>
          </w:p>
        </w:tc>
        <w:tc>
          <w:tcPr>
            <w:tcW w:w="881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its  beneficial for the worker so that they have little disruption to thier life and helps mentaly</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so they dont think they are useless. For the workers it is best so that they know the employer will do their duty as to safety aspect looking after all workers. Employer has less down time and all legal things adhered to </w:t>
            </w:r>
            <w:r>
              <w:rPr>
                <w:rFonts w:ascii="Calibri" w:hAnsi="Calibri" w:cs="Calibri" w:eastAsia="Calibri"/>
                <w:color w:val="auto"/>
                <w:spacing w:val="0"/>
                <w:position w:val="0"/>
                <w:sz w:val="22"/>
                <w:shd w:fill="auto" w:val="clear"/>
              </w:rPr>
              <w:t xml:space="preserve">    </w:t>
            </w: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Activity 6</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QUIZ</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8180"/>
        <w:gridCol w:w="1062"/>
      </w:tblGrid>
      <w:tr>
        <w:trPr>
          <w:trHeight w:val="1" w:hRule="atLeast"/>
          <w:jc w:val="left"/>
        </w:trPr>
        <w:tc>
          <w:tcPr>
            <w:tcW w:w="8180"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QUESTIONS</w:t>
            </w:r>
          </w:p>
        </w:tc>
        <w:tc>
          <w:tcPr>
            <w:tcW w:w="106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CORRECT</w:t>
            </w: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are suitable options for an injured worker under a return-to-work plan? Select all that apply.   </w:t>
              <w:br/>
              <w:tab/>
              <w:t xml:space="preserve"> </w:t>
              <w:tab/>
              <w:t xml:space="preserve">&gt;Normal duties supported by other equipment </w:t>
              <w:br/>
              <w:tab/>
              <w:t xml:space="preserve"> </w:t>
              <w:tab/>
              <w:t xml:space="preserve">&gt;Limiting the range of duties from the worker’s normal job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Terminating the worker’s employment </w:t>
            </w:r>
          </w:p>
          <w:p>
            <w:pPr>
              <w:spacing w:before="0" w:after="0" w:line="240"/>
              <w:ind w:right="0" w:left="36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ab/>
              <w:t xml:space="preserve"> </w:t>
              <w:tab/>
              <w:t xml:space="preserve">&gt;Giving the injured worker an alternative position</w:t>
              <w:br/>
              <w:tab/>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78"/>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The worker and employer each have sections to complete on a compensation claim form. </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ab/>
              <w:t xml:space="preserve"> </w:t>
              <w:tab/>
              <w:t xml:space="preserve">&gt;True</w:t>
              <w:br/>
              <w:tab/>
              <w:t xml:space="preserve"> </w:t>
              <w:tab/>
              <w:t xml:space="preserve">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2"/>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Which of the following parties should consult when developing and implementing a rehabilitation or return-to-work plan? Select all that apply. </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&gt;Rehabilitation provider</w:t>
              <w:br/>
              <w:tab/>
              <w:t xml:space="preserve">                   Doctor’s associations</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&gt;Supervisors of the injured worker</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&gt;Injured worker and their family</w:t>
            </w:r>
          </w:p>
          <w:p>
            <w:pPr>
              <w:spacing w:before="0" w:after="0" w:line="240"/>
              <w:ind w:right="0" w:left="36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86"/>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 worker should only return to work if they are capable of returning to pre-injury duties.</w:t>
            </w:r>
          </w:p>
          <w:p>
            <w:pPr>
              <w:spacing w:before="0" w:after="0" w:line="240"/>
              <w:ind w:right="0" w:left="36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ab/>
              <w:t xml:space="preserve"> </w:t>
              <w:tab/>
              <w:t xml:space="preserve">True</w:t>
              <w:br/>
              <w:tab/>
              <w:t xml:space="preserve"> </w:t>
              <w:tab/>
              <w:t xml:space="preserve">&gt;False</w:t>
              <w:br/>
            </w: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0"/>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Return-to-work programs cannot be modified after being implemented.</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&gt;True</w:t>
              <w:br/>
              <w:tab/>
              <w:t xml:space="preserve"> </w:t>
              <w:tab/>
              <w:t xml:space="preserve">False </w:t>
            </w:r>
          </w:p>
          <w:p>
            <w:pPr>
              <w:spacing w:before="0" w:after="0" w:line="240"/>
              <w:ind w:right="0" w:left="36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818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294"/>
              </w:numPr>
              <w:spacing w:before="0" w:after="0" w:line="240"/>
              <w:ind w:right="0" w:left="360" w:hanging="36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All parties in the workplace should know the details of a return-to-work program.</w:t>
            </w:r>
          </w:p>
          <w:p>
            <w:pPr>
              <w:spacing w:before="0" w:after="0" w:line="240"/>
              <w:ind w:right="0" w:left="36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ab/>
              <w:t xml:space="preserve"> </w:t>
              <w:tab/>
              <w:t xml:space="preserve">&gt;True</w:t>
              <w:br/>
              <w:tab/>
              <w:t xml:space="preserve">                   False </w:t>
            </w:r>
          </w:p>
          <w:p>
            <w:pPr>
              <w:spacing w:before="0" w:after="0" w:line="240"/>
              <w:ind w:right="0" w:left="360" w:firstLine="0"/>
              <w:jc w:val="left"/>
              <w:rPr>
                <w:rFonts w:ascii="Calibri" w:hAnsi="Calibri" w:cs="Calibri" w:eastAsia="Calibri"/>
                <w:color w:val="auto"/>
                <w:spacing w:val="0"/>
                <w:position w:val="0"/>
                <w:sz w:val="22"/>
              </w:rPr>
            </w:pPr>
          </w:p>
        </w:tc>
        <w:tc>
          <w:tcPr>
            <w:tcW w:w="106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36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Quiz</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398"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center"/>
        <w:rPr>
          <w:rFonts w:ascii="Calibri" w:hAnsi="Calibri" w:cs="Calibri" w:eastAsia="Calibri"/>
          <w:b/>
          <w:color w:val="auto"/>
          <w:spacing w:val="0"/>
          <w:position w:val="0"/>
          <w:sz w:val="22"/>
          <w:shd w:fill="F99D31" w:val="clear"/>
        </w:rPr>
      </w:pPr>
      <w:r>
        <w:rPr>
          <w:rFonts w:ascii="Calibri" w:hAnsi="Calibri" w:cs="Calibri" w:eastAsia="Calibri"/>
          <w:b/>
          <w:color w:val="auto"/>
          <w:spacing w:val="0"/>
          <w:position w:val="0"/>
          <w:sz w:val="22"/>
          <w:shd w:fill="F99D31" w:val="clear"/>
        </w:rPr>
        <w:t xml:space="preserve">THIRD PARTY REPORT</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You are required to have a suitable third party to verify your ability to complete the following:</w:t>
      </w:r>
    </w:p>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3136"/>
        <w:gridCol w:w="4214"/>
        <w:gridCol w:w="1892"/>
      </w:tblGrid>
      <w:tr>
        <w:trPr>
          <w:trHeight w:val="1" w:hRule="atLeast"/>
          <w:jc w:val="left"/>
        </w:trPr>
        <w:tc>
          <w:tcPr>
            <w:tcW w:w="7350" w:type="dxa"/>
            <w:gridSpan w:val="2"/>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SKILLS</w:t>
            </w:r>
          </w:p>
        </w:tc>
        <w:tc>
          <w:tcPr>
            <w:tcW w:w="189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VERIFIED</w:t>
            </w:r>
          </w:p>
        </w:tc>
      </w:tr>
      <w:tr>
        <w:trPr>
          <w:trHeight w:val="1" w:hRule="atLeast"/>
          <w:jc w:val="left"/>
        </w:trPr>
        <w:tc>
          <w:tcPr>
            <w:tcW w:w="9242" w:type="dxa"/>
            <w:gridSpan w:val="3"/>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313"/>
              </w:numPr>
              <w:spacing w:before="0" w:after="0" w:line="240"/>
              <w:ind w:right="0" w:left="36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Meet organisational policies and procedures, and all relevant legal and workers’ compensation insurance requirements when:</w:t>
            </w:r>
          </w:p>
        </w:tc>
      </w:tr>
      <w:tr>
        <w:trPr>
          <w:trHeight w:val="1" w:hRule="atLeast"/>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13"/>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Processing workers’ compensation claims.</w:t>
            </w:r>
          </w:p>
          <w:p>
            <w:pPr>
              <w:spacing w:before="0" w:after="0" w:line="240"/>
              <w:ind w:right="0" w:left="36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p>
            <w:pPr>
              <w:spacing w:before="0" w:after="0" w:line="240"/>
              <w:ind w:right="0" w:left="0" w:firstLine="0"/>
              <w:jc w:val="center"/>
              <w:rPr>
                <w:rFonts w:ascii="Calibri" w:hAnsi="Calibri" w:cs="Calibri" w:eastAsia="Calibri"/>
                <w:color w:val="auto"/>
                <w:spacing w:val="0"/>
                <w:position w:val="0"/>
                <w:sz w:val="22"/>
                <w:shd w:fill="auto" w:val="clear"/>
              </w:rPr>
            </w:pPr>
          </w:p>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1" w:hRule="atLeast"/>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0"/>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Notifying rehabilitation provider and claimant of outcomes. </w:t>
            </w:r>
          </w:p>
          <w:p>
            <w:pPr>
              <w:spacing w:before="0" w:after="0" w:line="240"/>
              <w:ind w:right="0" w:left="36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4"/>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Analysing claims to identify the nature of the illness/injury and preparing reports.</w:t>
            </w:r>
          </w:p>
          <w:p>
            <w:pPr>
              <w:spacing w:before="0" w:after="0" w:line="240"/>
              <w:ind w:right="0" w:left="36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9242" w:type="dxa"/>
            <w:gridSpan w:val="3"/>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329"/>
              </w:numPr>
              <w:spacing w:before="0" w:after="0" w:line="240"/>
              <w:ind w:right="0" w:left="36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Implement a successful rehabilitation or return-to-work program by:</w:t>
            </w:r>
          </w:p>
        </w:tc>
      </w:tr>
      <w:tr>
        <w:trPr>
          <w:trHeight w:val="1" w:hRule="atLeast"/>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29"/>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Estimating projected period of absence from work and organising work team where rehabilitation assistance is required.</w:t>
            </w:r>
          </w:p>
          <w:p>
            <w:pPr>
              <w:spacing w:before="0" w:after="0" w:line="240"/>
              <w:ind w:right="0" w:left="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 w:hRule="atLeast"/>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36"/>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Facilitating consultation between rehabilitation provider, doctors, managers and the injured worker. </w:t>
            </w:r>
          </w:p>
          <w:p>
            <w:pPr>
              <w:spacing w:before="0" w:after="0" w:line="240"/>
              <w:ind w:right="0" w:left="36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490" w:hRule="auto"/>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1"/>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Redesigning job after documenting existing skills, noting required training and consulting with professionals (i.e. health and management) and the injured worker.</w:t>
            </w:r>
          </w:p>
          <w:p>
            <w:pPr>
              <w:spacing w:before="0" w:after="0" w:line="240"/>
              <w:ind w:right="0" w:left="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122" w:hRule="auto"/>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46"/>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Commencing the program within a timely fashion.</w:t>
            </w: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70" w:hRule="auto"/>
          <w:jc w:val="left"/>
        </w:trPr>
        <w:tc>
          <w:tcPr>
            <w:tcW w:w="9242" w:type="dxa"/>
            <w:gridSpan w:val="3"/>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numPr>
                <w:ilvl w:val="0"/>
                <w:numId w:val="350"/>
              </w:numPr>
              <w:spacing w:before="0" w:after="0" w:line="240"/>
              <w:ind w:right="0" w:left="36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Monitoring and evaluating a rehabilitation or return-to-work program by:</w:t>
            </w:r>
          </w:p>
        </w:tc>
      </w:tr>
      <w:tr>
        <w:trPr>
          <w:trHeight w:val="70" w:hRule="auto"/>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50"/>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Facilitating consultation and regular contact between rehabilitation provider, managers and the injured worker. </w:t>
            </w:r>
          </w:p>
          <w:p>
            <w:pPr>
              <w:spacing w:before="0" w:after="0" w:line="240"/>
              <w:ind w:right="0" w:left="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70" w:hRule="auto"/>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57"/>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Identifying, notifying and acting on breaches of return-to-work program</w:t>
            </w: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70" w:hRule="auto"/>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0"/>
              </w:numPr>
              <w:spacing w:before="0" w:after="0" w:line="240"/>
              <w:ind w:right="0" w:left="720" w:hanging="360"/>
              <w:jc w:val="left"/>
              <w:rPr>
                <w:rFonts w:ascii="Calibri" w:hAnsi="Calibri" w:cs="Calibri" w:eastAsia="Calibri"/>
                <w:spacing w:val="0"/>
                <w:position w:val="0"/>
                <w:sz w:val="22"/>
              </w:rPr>
            </w:pPr>
            <w:r>
              <w:rPr>
                <w:rFonts w:ascii="Calibri" w:hAnsi="Calibri" w:cs="Calibri" w:eastAsia="Calibri"/>
                <w:color w:val="000000"/>
                <w:spacing w:val="0"/>
                <w:position w:val="0"/>
                <w:sz w:val="22"/>
                <w:shd w:fill="auto" w:val="clear"/>
              </w:rPr>
              <w:t xml:space="preserve">Modifying return-to-work program, where required.</w:t>
            </w: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70" w:hRule="auto"/>
          <w:jc w:val="left"/>
        </w:trPr>
        <w:tc>
          <w:tcPr>
            <w:tcW w:w="7350"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numPr>
                <w:ilvl w:val="0"/>
                <w:numId w:val="363"/>
              </w:numPr>
              <w:spacing w:before="0" w:after="0" w:line="240"/>
              <w:ind w:right="0" w:left="720" w:hanging="36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Evaluating each rehabilitation or return-to-work program and implementing recommendations, where appropriate.</w:t>
            </w:r>
          </w:p>
          <w:p>
            <w:pPr>
              <w:spacing w:before="0" w:after="0" w:line="240"/>
              <w:ind w:right="0" w:left="0" w:firstLine="0"/>
              <w:jc w:val="left"/>
              <w:rPr>
                <w:rFonts w:ascii="Calibri" w:hAnsi="Calibri" w:cs="Calibri" w:eastAsia="Calibri"/>
                <w:spacing w:val="0"/>
                <w:position w:val="0"/>
                <w:sz w:val="22"/>
              </w:rPr>
            </w:pPr>
          </w:p>
        </w:tc>
        <w:tc>
          <w:tcPr>
            <w:tcW w:w="189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center"/>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yes</w:t>
            </w:r>
          </w:p>
        </w:tc>
      </w:tr>
      <w:tr>
        <w:trPr>
          <w:trHeight w:val="567" w:hRule="auto"/>
          <w:jc w:val="left"/>
        </w:trPr>
        <w:tc>
          <w:tcPr>
            <w:tcW w:w="31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Name of third party</w:t>
            </w:r>
          </w:p>
        </w:tc>
        <w:tc>
          <w:tcPr>
            <w:tcW w:w="61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Kevin Scott</w:t>
            </w:r>
          </w:p>
        </w:tc>
      </w:tr>
      <w:tr>
        <w:trPr>
          <w:trHeight w:val="567" w:hRule="auto"/>
          <w:jc w:val="left"/>
        </w:trPr>
        <w:tc>
          <w:tcPr>
            <w:tcW w:w="31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Role of third party </w:t>
              <w:br/>
              <w:t xml:space="preserve">(Confirm their suitability to sign report)</w:t>
            </w:r>
          </w:p>
        </w:tc>
        <w:tc>
          <w:tcPr>
            <w:tcW w:w="61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safety rep/union delegate</w:t>
            </w:r>
          </w:p>
        </w:tc>
      </w:tr>
      <w:tr>
        <w:trPr>
          <w:trHeight w:val="567" w:hRule="auto"/>
          <w:jc w:val="left"/>
        </w:trPr>
        <w:tc>
          <w:tcPr>
            <w:tcW w:w="31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Date of report completion</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     12/09/15</w:t>
            </w:r>
          </w:p>
        </w:tc>
      </w:tr>
      <w:tr>
        <w:trPr>
          <w:trHeight w:val="567" w:hRule="auto"/>
          <w:jc w:val="left"/>
        </w:trPr>
        <w:tc>
          <w:tcPr>
            <w:tcW w:w="31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Phone number of third party</w:t>
            </w:r>
          </w:p>
        </w:tc>
        <w:tc>
          <w:tcPr>
            <w:tcW w:w="61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0467031640</w:t>
            </w:r>
            <w:r>
              <w:rPr>
                <w:rFonts w:ascii="Calibri" w:hAnsi="Calibri" w:cs="Calibri" w:eastAsia="Calibri"/>
                <w:color w:val="auto"/>
                <w:spacing w:val="0"/>
                <w:position w:val="0"/>
                <w:sz w:val="22"/>
                <w:shd w:fill="auto" w:val="clear"/>
              </w:rPr>
              <w:t xml:space="preserve">   </w:t>
            </w:r>
          </w:p>
        </w:tc>
      </w:tr>
      <w:tr>
        <w:trPr>
          <w:trHeight w:val="567" w:hRule="auto"/>
          <w:jc w:val="left"/>
        </w:trPr>
        <w:tc>
          <w:tcPr>
            <w:tcW w:w="31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Email address of third party</w:t>
            </w:r>
          </w:p>
        </w:tc>
        <w:tc>
          <w:tcPr>
            <w:tcW w:w="6106"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r>
              <w:rPr>
                <w:rFonts w:ascii="Calibri" w:hAnsi="Calibri" w:cs="Calibri" w:eastAsia="Calibri"/>
                <w:color w:val="auto"/>
                <w:spacing w:val="0"/>
                <w:position w:val="0"/>
                <w:sz w:val="22"/>
                <w:shd w:fill="auto" w:val="clear"/>
              </w:rPr>
              <w:t xml:space="preserve">kscott.75@bigpond.com</w:t>
            </w:r>
            <w:r>
              <w:rPr>
                <w:rFonts w:ascii="Calibri" w:hAnsi="Calibri" w:cs="Calibri" w:eastAsia="Calibri"/>
                <w:color w:val="auto"/>
                <w:spacing w:val="0"/>
                <w:position w:val="0"/>
                <w:sz w:val="22"/>
                <w:shd w:fill="auto" w:val="clear"/>
              </w:rPr>
              <w:t xml:space="preserve">  </w:t>
            </w:r>
          </w:p>
        </w:tc>
      </w:tr>
      <w:tr>
        <w:trPr>
          <w:trHeight w:val="850" w:hRule="auto"/>
          <w:jc w:val="left"/>
        </w:trPr>
        <w:tc>
          <w:tcPr>
            <w:tcW w:w="3136"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center"/>
          </w:tcPr>
          <w:p>
            <w:pPr>
              <w:spacing w:before="0" w:after="0" w:line="240"/>
              <w:ind w:right="0" w:left="0" w:firstLine="0"/>
              <w:jc w:val="left"/>
              <w:rPr>
                <w:rFonts w:ascii="Calibri" w:hAnsi="Calibri" w:cs="Calibri" w:eastAsia="Calibri"/>
                <w:b/>
                <w:color w:val="auto"/>
                <w:spacing w:val="0"/>
                <w:position w:val="0"/>
                <w:sz w:val="22"/>
                <w:shd w:fill="auto" w:val="clear"/>
              </w:rPr>
            </w:pPr>
            <w:r>
              <w:rPr>
                <w:rFonts w:ascii="Calibri" w:hAnsi="Calibri" w:cs="Calibri" w:eastAsia="Calibri"/>
                <w:b/>
                <w:color w:val="auto"/>
                <w:spacing w:val="0"/>
                <w:position w:val="0"/>
                <w:sz w:val="22"/>
                <w:shd w:fill="auto" w:val="clear"/>
              </w:rPr>
              <w:t xml:space="preserve">Signature of third party</w:t>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K.Scott</w:t>
            </w:r>
          </w:p>
        </w:tc>
      </w:tr>
    </w:tbl>
    <w:p>
      <w:pPr>
        <w:spacing w:before="0" w:after="0" w:line="240"/>
        <w:ind w:right="0" w:left="0" w:firstLine="0"/>
        <w:jc w:val="left"/>
        <w:rPr>
          <w:rFonts w:ascii="Calibri" w:hAnsi="Calibri" w:cs="Calibri" w:eastAsia="Calibri"/>
          <w:color w:val="auto"/>
          <w:spacing w:val="0"/>
          <w:position w:val="0"/>
          <w:sz w:val="22"/>
          <w:shd w:fill="auto" w:val="clear"/>
        </w:rPr>
      </w:pPr>
    </w:p>
    <w:tbl>
      <w:tblPr/>
      <w:tblGrid>
        <w:gridCol w:w="2802"/>
        <w:gridCol w:w="6440"/>
      </w:tblGrid>
      <w:tr>
        <w:trPr>
          <w:trHeight w:val="1" w:hRule="atLeast"/>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Outcome for Third Party Report</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Satisfactory </w:t>
              <w:tab/>
            </w:r>
          </w:p>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Not satisfactory</w:t>
            </w:r>
          </w:p>
        </w:tc>
      </w:tr>
      <w:tr>
        <w:trPr>
          <w:trHeight w:val="2835" w:hRule="auto"/>
          <w:jc w:val="left"/>
        </w:trPr>
        <w:tc>
          <w:tcPr>
            <w:tcW w:w="2802" w:type="dxa"/>
            <w:tcBorders>
              <w:top w:val="single" w:color="000000" w:sz="4"/>
              <w:left w:val="single" w:color="000000" w:sz="4"/>
              <w:bottom w:val="single" w:color="000000" w:sz="4"/>
              <w:right w:val="single" w:color="000000" w:sz="4"/>
            </w:tcBorders>
            <w:shd w:color="auto" w:fill="232f84"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b/>
                <w:color w:val="auto"/>
                <w:spacing w:val="0"/>
                <w:position w:val="0"/>
                <w:sz w:val="22"/>
                <w:shd w:fill="auto" w:val="clear"/>
              </w:rPr>
              <w:t xml:space="preserve">Trainer/Assessor comments</w:t>
            </w:r>
          </w:p>
        </w:tc>
        <w:tc>
          <w:tcPr>
            <w:tcW w:w="644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rPr>
            </w:pPr>
            <w:r>
              <w:rPr>
                <w:rFonts w:ascii="Calibri" w:hAnsi="Calibri" w:cs="Calibri" w:eastAsia="Calibri"/>
                <w:color w:val="auto"/>
                <w:spacing w:val="0"/>
                <w:position w:val="0"/>
                <w:sz w:val="22"/>
                <w:shd w:fill="auto" w:val="clear"/>
              </w:rPr>
              <w:t xml:space="preserve">     </w:t>
            </w:r>
          </w:p>
        </w:tc>
      </w:tr>
    </w:tbl>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num w:numId="31">
    <w:abstractNumId w:val="228"/>
  </w:num>
  <w:num w:numId="39">
    <w:abstractNumId w:val="222"/>
  </w:num>
  <w:num w:numId="43">
    <w:abstractNumId w:val="216"/>
  </w:num>
  <w:num w:numId="46">
    <w:abstractNumId w:val="210"/>
  </w:num>
  <w:num w:numId="50">
    <w:abstractNumId w:val="204"/>
  </w:num>
  <w:num w:numId="53">
    <w:abstractNumId w:val="198"/>
  </w:num>
  <w:num w:numId="56">
    <w:abstractNumId w:val="192"/>
  </w:num>
  <w:num w:numId="86">
    <w:abstractNumId w:val="186"/>
  </w:num>
  <w:num w:numId="90">
    <w:abstractNumId w:val="180"/>
  </w:num>
  <w:num w:numId="114">
    <w:abstractNumId w:val="174"/>
  </w:num>
  <w:num w:numId="118">
    <w:abstractNumId w:val="168"/>
  </w:num>
  <w:num w:numId="144">
    <w:abstractNumId w:val="162"/>
  </w:num>
  <w:num w:numId="148">
    <w:abstractNumId w:val="156"/>
  </w:num>
  <w:num w:numId="177">
    <w:abstractNumId w:val="150"/>
  </w:num>
  <w:num w:numId="181">
    <w:abstractNumId w:val="144"/>
  </w:num>
  <w:num w:numId="209">
    <w:abstractNumId w:val="138"/>
  </w:num>
  <w:num w:numId="213">
    <w:abstractNumId w:val="132"/>
  </w:num>
  <w:num w:numId="241">
    <w:abstractNumId w:val="126"/>
  </w:num>
  <w:num w:numId="245">
    <w:abstractNumId w:val="120"/>
  </w:num>
  <w:num w:numId="274">
    <w:abstractNumId w:val="114"/>
  </w:num>
  <w:num w:numId="278">
    <w:abstractNumId w:val="108"/>
  </w:num>
  <w:num w:numId="282">
    <w:abstractNumId w:val="102"/>
  </w:num>
  <w:num w:numId="286">
    <w:abstractNumId w:val="96"/>
  </w:num>
  <w:num w:numId="290">
    <w:abstractNumId w:val="90"/>
  </w:num>
  <w:num w:numId="294">
    <w:abstractNumId w:val="84"/>
  </w:num>
  <w:num w:numId="313">
    <w:abstractNumId w:val="78"/>
  </w:num>
  <w:num w:numId="316">
    <w:abstractNumId w:val="72"/>
  </w:num>
  <w:num w:numId="320">
    <w:abstractNumId w:val="66"/>
  </w:num>
  <w:num w:numId="324">
    <w:abstractNumId w:val="60"/>
  </w:num>
  <w:num w:numId="329">
    <w:abstractNumId w:val="54"/>
  </w:num>
  <w:num w:numId="332">
    <w:abstractNumId w:val="48"/>
  </w:num>
  <w:num w:numId="336">
    <w:abstractNumId w:val="42"/>
  </w:num>
  <w:num w:numId="341">
    <w:abstractNumId w:val="36"/>
  </w:num>
  <w:num w:numId="346">
    <w:abstractNumId w:val="30"/>
  </w:num>
  <w:num w:numId="350">
    <w:abstractNumId w:val="24"/>
  </w:num>
  <w:num w:numId="353">
    <w:abstractNumId w:val="18"/>
  </w:num>
  <w:num w:numId="357">
    <w:abstractNumId w:val="12"/>
  </w:num>
  <w:num w:numId="360">
    <w:abstractNumId w:val="6"/>
  </w:num>
  <w:num w:numId="36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