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t</w:t>
      </w:r>
      <w:r>
        <w:object w:dxaOrig="10063" w:dyaOrig="6007">
          <v:rect xmlns:o="urn:schemas-microsoft-com:office:office" xmlns:v="urn:schemas-microsoft-com:vml" id="rectole0000000000" style="width:503.150000pt;height:300.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04" w:dyaOrig="3188">
          <v:rect xmlns:o="urn:schemas-microsoft-com:office:office" xmlns:v="urn:schemas-microsoft-com:vml" id="rectole0000000001" style="width:160.200000pt;height:159.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BSBWHS408A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submission 26/09/15</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40"/>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Third Party Report:</w:t>
      </w:r>
      <w:r>
        <w:rPr>
          <w:rFonts w:ascii="Calibri" w:hAnsi="Calibri" w:cs="Calibri" w:eastAsia="Calibri"/>
          <w:color w:val="auto"/>
          <w:spacing w:val="0"/>
          <w:position w:val="0"/>
          <w:sz w:val="22"/>
          <w:shd w:fill="auto" w:val="clear"/>
        </w:rPr>
        <w:t xml:space="preserve"> You will be required to have a third party attest to your knowledge and skills and sign a report to this effect. </w:t>
      </w: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4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Services provided by contractors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Policies, procedures, processes, systems, practices and activities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Legislative requirements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Developing, implementing and evaluating improvements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name a workplace that you wish to examine.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Road Costruction Camp</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7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7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two (2) services that may be supplied by contractors to your workplace. </w:t>
            </w:r>
          </w:p>
          <w:p>
            <w:pPr>
              <w:numPr>
                <w:ilvl w:val="0"/>
                <w:numId w:val="7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context, situation and arrangement of how these services are provided.</w:t>
            </w:r>
          </w:p>
          <w:p>
            <w:pPr>
              <w:numPr>
                <w:ilvl w:val="0"/>
                <w:numId w:val="7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document that would support the contractor’s contract</w:t>
            </w:r>
          </w:p>
          <w:p>
            <w:pPr>
              <w:numPr>
                <w:ilvl w:val="0"/>
                <w:numId w:val="74"/>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where contracts and other relevant contract documentation would be found.</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1603"/>
        <w:gridCol w:w="3914"/>
        <w:gridCol w:w="3304"/>
      </w:tblGrid>
      <w:tr>
        <w:trPr>
          <w:trHeight w:val="480"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Service provided</w:t>
            </w:r>
          </w:p>
        </w:tc>
        <w:tc>
          <w:tcPr>
            <w:tcW w:w="39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Explanation of context, situation and arrangement</w:t>
            </w:r>
          </w:p>
        </w:tc>
        <w:tc>
          <w:tcPr>
            <w:tcW w:w="330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Supporting documents and location  contract </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w:t>
            </w:r>
          </w:p>
        </w:tc>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machine mainenance</w:t>
            </w:r>
            <w:r>
              <w:rPr>
                <w:rFonts w:ascii="Calibri" w:hAnsi="Calibri" w:cs="Calibri" w:eastAsia="Calibri"/>
                <w:color w:val="auto"/>
                <w:spacing w:val="0"/>
                <w:position w:val="0"/>
                <w:sz w:val="22"/>
                <w:shd w:fill="auto" w:val="clear"/>
              </w:rPr>
              <w:t xml:space="preserve">     </w:t>
            </w:r>
          </w:p>
        </w:tc>
        <w:tc>
          <w:tcPr>
            <w:tcW w:w="3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regular serviceing and maintaining of machines and equipment on different work sites</w:t>
            </w:r>
            <w:r>
              <w:rPr>
                <w:rFonts w:ascii="Calibri" w:hAnsi="Calibri" w:cs="Calibri" w:eastAsia="Calibri"/>
                <w:color w:val="auto"/>
                <w:spacing w:val="0"/>
                <w:position w:val="0"/>
                <w:sz w:val="22"/>
                <w:shd w:fill="auto" w:val="clear"/>
              </w:rPr>
              <w:t xml:space="preserve">     </w:t>
            </w:r>
          </w:p>
        </w:tc>
        <w:tc>
          <w:tcPr>
            <w:tcW w:w="33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permit/induction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WHSE Occupational Health Safety  and Enviroment Policy</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works manager/supervisor</w:t>
            </w:r>
          </w:p>
        </w:tc>
      </w:tr>
      <w:tr>
        <w:trPr>
          <w:trHeight w:val="1134"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2.</w:t>
            </w:r>
          </w:p>
        </w:tc>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electrical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mainenance</w:t>
            </w:r>
            <w:r>
              <w:rPr>
                <w:rFonts w:ascii="Calibri" w:hAnsi="Calibri" w:cs="Calibri" w:eastAsia="Calibri"/>
                <w:color w:val="auto"/>
                <w:spacing w:val="0"/>
                <w:position w:val="0"/>
                <w:sz w:val="22"/>
                <w:shd w:fill="auto" w:val="clear"/>
              </w:rPr>
              <w:t xml:space="preserve">     </w:t>
            </w:r>
          </w:p>
        </w:tc>
        <w:tc>
          <w:tcPr>
            <w:tcW w:w="39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testing and tagging of electrical appliances and equipment on different worksites</w:t>
            </w:r>
          </w:p>
        </w:tc>
        <w:tc>
          <w:tcPr>
            <w:tcW w:w="33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WHSE Management plan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works manager/supervisor</w:t>
            </w:r>
          </w:p>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99"/>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2280" w:hRule="auto"/>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and outline one (1) of each of the following within your chosen organisation which deals with contractor WHS arrangements:</w:t>
            </w:r>
          </w:p>
          <w:p>
            <w:pPr>
              <w:numPr>
                <w:ilvl w:val="0"/>
                <w:numId w:val="10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policy</w:t>
            </w:r>
          </w:p>
          <w:p>
            <w:pPr>
              <w:numPr>
                <w:ilvl w:val="0"/>
                <w:numId w:val="10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procedure</w:t>
            </w:r>
          </w:p>
          <w:p>
            <w:pPr>
              <w:numPr>
                <w:ilvl w:val="0"/>
                <w:numId w:val="10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process</w:t>
            </w:r>
          </w:p>
          <w:p>
            <w:pPr>
              <w:numPr>
                <w:ilvl w:val="0"/>
                <w:numId w:val="10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system</w:t>
            </w:r>
          </w:p>
          <w:p>
            <w:pPr>
              <w:numPr>
                <w:ilvl w:val="0"/>
                <w:numId w:val="103"/>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practice and activity (i.e. common practice that is not outlined in one of the above documents)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400"/>
        <w:gridCol w:w="2611"/>
        <w:gridCol w:w="5224"/>
      </w:tblGrid>
      <w:tr>
        <w:trPr>
          <w:trHeight w:val="1" w:hRule="atLeast"/>
          <w:jc w:val="left"/>
        </w:trPr>
        <w:tc>
          <w:tcPr>
            <w:tcW w:w="140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1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document</w:t>
            </w:r>
          </w:p>
        </w:tc>
        <w:tc>
          <w:tcPr>
            <w:tcW w:w="522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Outline</w:t>
            </w:r>
          </w:p>
        </w:tc>
      </w:tr>
      <w:tr>
        <w:trPr>
          <w:trHeight w:val="1134" w:hRule="auto"/>
          <w:jc w:val="left"/>
        </w:trPr>
        <w:tc>
          <w:tcPr>
            <w:tcW w:w="14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policy</w:t>
            </w:r>
          </w:p>
        </w:tc>
        <w:tc>
          <w:tcPr>
            <w:tcW w:w="2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safety management program based on AS/NZS 4801-2001</w:t>
            </w:r>
          </w:p>
        </w:tc>
        <w:tc>
          <w:tcPr>
            <w:tcW w:w="52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primary objective is to eliminate or reduce risk by developing proactive strategives and risk management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4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procedure</w:t>
            </w:r>
          </w:p>
        </w:tc>
        <w:tc>
          <w:tcPr>
            <w:tcW w:w="2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Individual  Safe Work Procedures,guidelines and standards</w:t>
            </w:r>
          </w:p>
        </w:tc>
        <w:tc>
          <w:tcPr>
            <w:tcW w:w="52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adequate resources to manage and maintain health and safety</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4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process</w:t>
            </w:r>
          </w:p>
        </w:tc>
        <w:tc>
          <w:tcPr>
            <w:tcW w:w="2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site induction and consultation on whs management plan</w:t>
            </w:r>
            <w:r>
              <w:rPr>
                <w:rFonts w:ascii="Calibri" w:hAnsi="Calibri" w:cs="Calibri" w:eastAsia="Calibri"/>
                <w:color w:val="auto"/>
                <w:spacing w:val="0"/>
                <w:position w:val="0"/>
                <w:sz w:val="22"/>
                <w:shd w:fill="auto" w:val="clear"/>
              </w:rPr>
              <w:t xml:space="preserve">     </w:t>
            </w:r>
          </w:p>
        </w:tc>
        <w:tc>
          <w:tcPr>
            <w:tcW w:w="52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contactor to show whs plan on commencement of work to show they meet whs requirements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4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system</w:t>
            </w:r>
          </w:p>
        </w:tc>
        <w:tc>
          <w:tcPr>
            <w:tcW w:w="2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management system on how to comply with whs safety guidelines</w:t>
            </w:r>
            <w:r>
              <w:rPr>
                <w:rFonts w:ascii="Calibri" w:hAnsi="Calibri" w:cs="Calibri" w:eastAsia="Calibri"/>
                <w:color w:val="auto"/>
                <w:spacing w:val="0"/>
                <w:position w:val="0"/>
                <w:sz w:val="22"/>
                <w:shd w:fill="auto" w:val="clear"/>
              </w:rPr>
              <w:t xml:space="preserve">   </w:t>
            </w:r>
          </w:p>
        </w:tc>
        <w:tc>
          <w:tcPr>
            <w:tcW w:w="52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contractor to show how they will comply and understand whs safety plans in place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4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practice and activity</w:t>
            </w:r>
          </w:p>
        </w:tc>
        <w:tc>
          <w:tcPr>
            <w:tcW w:w="26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regular training and updating of legislations</w:t>
            </w:r>
            <w:r>
              <w:rPr>
                <w:rFonts w:ascii="Calibri" w:hAnsi="Calibri" w:cs="Calibri" w:eastAsia="Calibri"/>
                <w:color w:val="auto"/>
                <w:spacing w:val="0"/>
                <w:position w:val="0"/>
                <w:sz w:val="22"/>
                <w:shd w:fill="auto" w:val="clear"/>
              </w:rPr>
              <w:t xml:space="preserve">  </w:t>
            </w:r>
          </w:p>
        </w:tc>
        <w:tc>
          <w:tcPr>
            <w:tcW w:w="52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contractors to update and review as not employed full time with company</w:t>
            </w: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30"/>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examples from the following areas that would assist you in determining whether contractor arrangements within your nominated workplace (i.e. policies, procedures, processes, systems, practices and activities) are compliant.</w:t>
            </w:r>
          </w:p>
          <w:p>
            <w:pPr>
              <w:numPr>
                <w:ilvl w:val="0"/>
                <w:numId w:val="134"/>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w:t>
            </w:r>
          </w:p>
          <w:p>
            <w:pPr>
              <w:numPr>
                <w:ilvl w:val="0"/>
                <w:numId w:val="134"/>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Regulation</w:t>
            </w:r>
          </w:p>
          <w:p>
            <w:pPr>
              <w:numPr>
                <w:ilvl w:val="0"/>
                <w:numId w:val="134"/>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Code of practice</w:t>
            </w:r>
          </w:p>
          <w:p>
            <w:pPr>
              <w:numPr>
                <w:ilvl w:val="0"/>
                <w:numId w:val="134"/>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Standard</w:t>
            </w:r>
          </w:p>
          <w:p>
            <w:pPr>
              <w:numPr>
                <w:ilvl w:val="0"/>
                <w:numId w:val="134"/>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Guidance publication</w:t>
            </w:r>
          </w:p>
        </w:tc>
      </w:tr>
    </w:tbl>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tbl>
      <w:tblPr/>
      <w:tblGrid>
        <w:gridCol w:w="1725"/>
        <w:gridCol w:w="2919"/>
        <w:gridCol w:w="4591"/>
      </w:tblGrid>
      <w:tr>
        <w:trPr>
          <w:trHeight w:val="1" w:hRule="atLeast"/>
          <w:jc w:val="left"/>
        </w:trPr>
        <w:tc>
          <w:tcPr>
            <w:tcW w:w="172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Document type</w:t>
            </w:r>
          </w:p>
        </w:tc>
        <w:tc>
          <w:tcPr>
            <w:tcW w:w="291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b/>
                <w:color w:val="auto"/>
                <w:spacing w:val="0"/>
                <w:position w:val="0"/>
                <w:sz w:val="22"/>
                <w:shd w:fill="auto" w:val="clear"/>
              </w:rPr>
              <w:t xml:space="preserve">Name of relevant document  </w:t>
              <w:br/>
            </w:r>
            <w:r>
              <w:rPr>
                <w:rFonts w:ascii="Calibri" w:hAnsi="Calibri" w:cs="Calibri" w:eastAsia="Calibri"/>
                <w:i/>
                <w:color w:val="auto"/>
                <w:spacing w:val="0"/>
                <w:position w:val="0"/>
                <w:sz w:val="22"/>
                <w:shd w:fill="auto" w:val="clear"/>
              </w:rPr>
              <w:t xml:space="preserve">(e.g. Work Health and Safety Act 2011 (Qld) found at </w:t>
            </w:r>
            <w:hyperlink xmlns:r="http://schemas.openxmlformats.org/officeDocument/2006/relationships" r:id="docRId4">
              <w:r>
                <w:rPr>
                  <w:rFonts w:ascii="Calibri" w:hAnsi="Calibri" w:cs="Calibri" w:eastAsia="Calibri"/>
                  <w:i/>
                  <w:color w:val="0563C1"/>
                  <w:spacing w:val="0"/>
                  <w:position w:val="0"/>
                  <w:sz w:val="22"/>
                  <w:u w:val="single"/>
                  <w:shd w:fill="auto" w:val="clear"/>
                </w:rPr>
                <w:t xml:space="preserve">www.legislation.qld.gov.au</w:t>
              </w:r>
            </w:hyperlink>
            <w:r>
              <w:rPr>
                <w:rFonts w:ascii="Calibri" w:hAnsi="Calibri" w:cs="Calibri" w:eastAsia="Calibri"/>
                <w:i/>
                <w:color w:val="auto"/>
                <w:spacing w:val="0"/>
                <w:position w:val="0"/>
                <w:sz w:val="22"/>
                <w:shd w:fill="auto" w:val="clear"/>
              </w:rPr>
              <w:t xml:space="preserve">)</w:t>
            </w:r>
          </w:p>
        </w:tc>
        <w:tc>
          <w:tcPr>
            <w:tcW w:w="459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Relevant section for chosen workplace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2"/>
                <w:shd w:fill="auto" w:val="clear"/>
              </w:rPr>
              <w:t xml:space="preserve">(e.g. Section 7: A person is a worker if the person carriers out work in any capacity for a PCBU, including work as a contractor or subcontractor)</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Act</w:t>
            </w:r>
          </w:p>
        </w:tc>
        <w:tc>
          <w:tcPr>
            <w:tcW w:w="29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Health and Safety Act 2004 found at</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www.legislation.qld.gov.au</w:t>
              </w:r>
            </w:hyperlink>
            <w:r>
              <w:rPr>
                <w:rFonts w:ascii="Calibri" w:hAnsi="Calibri" w:cs="Calibri" w:eastAsia="Calibri"/>
                <w:color w:val="auto"/>
                <w:spacing w:val="0"/>
                <w:position w:val="0"/>
                <w:sz w:val="22"/>
                <w:shd w:fill="auto" w:val="clear"/>
              </w:rPr>
              <w:t xml:space="preserve">     </w:t>
            </w:r>
          </w:p>
        </w:tc>
        <w:tc>
          <w:tcPr>
            <w:tcW w:w="4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28: as a worker you should be proactive in recognising in recognizing and acting on hazard reporting and reducing</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Regulation</w:t>
            </w:r>
          </w:p>
        </w:tc>
        <w:tc>
          <w:tcPr>
            <w:tcW w:w="29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Health and Safety Act 2011(QLD) found at </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www.legislation.qld.gov.au</w:t>
              </w:r>
            </w:hyperlink>
            <w:r>
              <w:rPr>
                <w:rFonts w:ascii="Calibri" w:hAnsi="Calibri" w:cs="Calibri" w:eastAsia="Calibri"/>
                <w:color w:val="auto"/>
                <w:spacing w:val="0"/>
                <w:position w:val="0"/>
                <w:sz w:val="22"/>
                <w:shd w:fill="auto" w:val="clear"/>
              </w:rPr>
              <w:t xml:space="preserve">    </w:t>
            </w:r>
          </w:p>
        </w:tc>
        <w:tc>
          <w:tcPr>
            <w:tcW w:w="4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nul requires that the principal contractor prepare a written whs management plan before project commences</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Code of practice</w:t>
            </w:r>
          </w:p>
        </w:tc>
        <w:tc>
          <w:tcPr>
            <w:tcW w:w="29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Health and Safety Act 2011(QLD) found at </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www.legislation.qld.gov.au</w:t>
              </w:r>
            </w:hyperlink>
          </w:p>
        </w:tc>
        <w:tc>
          <w:tcPr>
            <w:tcW w:w="4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section 274: how to meet the requirements for consultation and co-operation and co-ordination on work health and safety matters</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Standard</w:t>
            </w:r>
          </w:p>
        </w:tc>
        <w:tc>
          <w:tcPr>
            <w:tcW w:w="29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 Work Australia</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www.safeworkaustralia.gov.au</w:t>
              </w:r>
            </w:hyperlink>
          </w:p>
        </w:tc>
        <w:tc>
          <w:tcPr>
            <w:tcW w:w="4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contractor to have in place a SWMS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be responsible for their own safety and those around them</w:t>
            </w:r>
          </w:p>
        </w:tc>
      </w:tr>
      <w:tr>
        <w:trPr>
          <w:trHeight w:val="1134" w:hRule="auto"/>
          <w:jc w:val="left"/>
        </w:trPr>
        <w:tc>
          <w:tcPr>
            <w:tcW w:w="17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Guidance publication</w:t>
            </w:r>
          </w:p>
        </w:tc>
        <w:tc>
          <w:tcPr>
            <w:tcW w:w="29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 Work </w:t>
            </w:r>
            <w:hyperlink xmlns:r="http://schemas.openxmlformats.org/officeDocument/2006/relationships" r:id="docRId9">
              <w:r>
                <w:rPr>
                  <w:rFonts w:ascii="Calibri" w:hAnsi="Calibri" w:cs="Calibri" w:eastAsia="Calibri"/>
                  <w:color w:val="0000FF"/>
                  <w:spacing w:val="0"/>
                  <w:position w:val="0"/>
                  <w:sz w:val="22"/>
                  <w:u w:val="single"/>
                  <w:shd w:fill="auto" w:val="clear"/>
                </w:rPr>
                <w:t xml:space="preserve">www.safeworkaustralia.gov.au</w:t>
              </w:r>
            </w:hyperlink>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c>
        <w:tc>
          <w:tcPr>
            <w:tcW w:w="4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proactive and dilligent in all forms of safety in the work place in which they are contracting at</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6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purpose of improving contractor arrangements in your workplace, you are to develop a report (in the following structure), which evaluates current contractor practices and outlines improvements.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171"/>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INTRODUCTION</w:t>
            </w:r>
          </w:p>
          <w:p>
            <w:pPr>
              <w:numPr>
                <w:ilvl w:val="0"/>
                <w:numId w:val="171"/>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the background of your company, its role and purpose </w:t>
            </w:r>
          </w:p>
          <w:p>
            <w:pPr>
              <w:numPr>
                <w:ilvl w:val="0"/>
                <w:numId w:val="171"/>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role of contractors within the organisation (e.g. services provided, current arrangements)</w:t>
            </w:r>
          </w:p>
          <w:p>
            <w:pPr>
              <w:numPr>
                <w:ilvl w:val="0"/>
                <w:numId w:val="171"/>
              </w:numPr>
              <w:spacing w:before="0" w:after="0" w:line="240"/>
              <w:ind w:right="0" w:left="709" w:hanging="357"/>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what you wish to achieve by conducting  review and evaluation of current WHS arrangements for contractors</w:t>
            </w:r>
          </w:p>
          <w:p>
            <w:pPr>
              <w:numPr>
                <w:ilvl w:val="0"/>
                <w:numId w:val="171"/>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LEGISLATIVE REQUIREMENTS </w:t>
            </w:r>
          </w:p>
          <w:p>
            <w:pPr>
              <w:numPr>
                <w:ilvl w:val="0"/>
                <w:numId w:val="171"/>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contractors’ WHS duties under the legislation</w:t>
            </w:r>
          </w:p>
          <w:p>
            <w:pPr>
              <w:numPr>
                <w:ilvl w:val="0"/>
                <w:numId w:val="171"/>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contractors’ WHS rights under the legislation</w:t>
            </w:r>
          </w:p>
          <w:p>
            <w:pPr>
              <w:numPr>
                <w:ilvl w:val="0"/>
                <w:numId w:val="171"/>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contractors’ WHS obligations under the legislation</w:t>
            </w:r>
          </w:p>
          <w:p>
            <w:pPr>
              <w:numPr>
                <w:ilvl w:val="0"/>
                <w:numId w:val="171"/>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CURRENT PRACTICES FOR CONTRACTORS</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two (2) contractor WHS arrangements. </w:t>
            </w:r>
          </w:p>
          <w:p>
            <w:pPr>
              <w:numPr>
                <w:ilvl w:val="0"/>
                <w:numId w:val="171"/>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REFLECTION ON BEST PRACTICE</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best practice for these arrangements. Compare with current practice.</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workplace WHS information and data. Compare with current practice.</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areas for improvement.</w:t>
            </w:r>
          </w:p>
          <w:p>
            <w:pPr>
              <w:numPr>
                <w:ilvl w:val="0"/>
                <w:numId w:val="171"/>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RECOMMENDATIONS</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Propose improvements to address needs, ensuring they address best practice, WHS information and data (including legislation).</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how proposed improvements could be implemented.</w:t>
            </w:r>
          </w:p>
          <w:p>
            <w:pPr>
              <w:numPr>
                <w:ilvl w:val="0"/>
                <w:numId w:val="171"/>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how improvements could be evaluated for effectiveness. </w:t>
            </w:r>
          </w:p>
          <w:p>
            <w:pPr>
              <w:numPr>
                <w:ilvl w:val="0"/>
                <w:numId w:val="171"/>
              </w:numPr>
              <w:spacing w:before="0" w:after="0" w:line="240"/>
              <w:ind w:right="0" w:left="36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CONCLUSION</w:t>
            </w:r>
          </w:p>
          <w:p>
            <w:pPr>
              <w:numPr>
                <w:ilvl w:val="0"/>
                <w:numId w:val="171"/>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the importance of WHS to your company</w:t>
            </w:r>
          </w:p>
          <w:p>
            <w:pPr>
              <w:numPr>
                <w:ilvl w:val="0"/>
                <w:numId w:val="171"/>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that contractors have varying WHS duties, rights and obligations under the legislation</w:t>
            </w:r>
          </w:p>
          <w:p>
            <w:pPr>
              <w:numPr>
                <w:ilvl w:val="0"/>
                <w:numId w:val="171"/>
              </w:numPr>
              <w:spacing w:before="0" w:after="0" w:line="240"/>
              <w:ind w:right="0" w:left="709"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Express the importance of improving practices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TIPS:</w:t>
            </w:r>
          </w:p>
          <w:p>
            <w:pPr>
              <w:numPr>
                <w:ilvl w:val="0"/>
                <w:numId w:val="1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the report template (below) and elaborate on the points above.</w:t>
            </w:r>
          </w:p>
          <w:p>
            <w:pPr>
              <w:numPr>
                <w:ilvl w:val="0"/>
                <w:numId w:val="1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Write in simple English. Remember that people from a range of backgrounds and abilities would be reading this document, such as health and safety committees, health and safety representatives, managers, supervisors, and PCBUs or their officers. </w:t>
            </w:r>
          </w:p>
          <w:p>
            <w:pPr>
              <w:numPr>
                <w:ilvl w:val="0"/>
                <w:numId w:val="184"/>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42"/>
      </w:tblGrid>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18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INTRODUCTION</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Local government in the form of a local council which maintains and building of roads and infrastructure. Contractors are employed to service and maintain machinery  or the supply of various products when needed.Reviewing, updating and maintaining contractors wsms is to insure that all is in line  with legislation and all matters of health and safety of them selfs and all workers </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19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LEGISLATIVE REQUIREMENTS </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Contractors duties under legislation is for safety and health pertaining to themself and others in the workplace. Contractors rights are those of the worker in which all health and safety aspects are adhered to. Contractors obligations are the same as workers to be safety consious and adhere to all legisative requirements on the work site.</w:t>
            </w:r>
          </w:p>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0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CURRENT PRACTICES FOR CONTRACTORS</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WSMS:-Workplace Safety Method  contract entered into between the PCBU and the Contractor acknowledgeing all aspects and what is expected of said people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WHSS: Workplace Health and Safety System: A contract outlining the qualifications and understanding of said contractor involved</w:t>
            </w:r>
          </w:p>
        </w:tc>
      </w:tr>
      <w:tr>
        <w:trPr>
          <w:trHeight w:val="1" w:hRule="atLeast"/>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0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REFLECTION ON BEST PRACTICE</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all parties involved co-operate and communiciate on a regular bases so updates and expectations can be shared and acted on so all aspects of the legislation and safety issues be adhered to</w:t>
            </w:r>
          </w:p>
        </w:tc>
      </w:tr>
      <w:tr>
        <w:trPr>
          <w:trHeight w:val="85" w:hRule="auto"/>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1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RECOMMENDATIONS</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reccomend that regular updates and issues be the main prioty in all worksites  and have the revelant safety officers be trained so that a safety rep is available on all worksites</w:t>
            </w:r>
          </w:p>
        </w:tc>
      </w:tr>
      <w:tr>
        <w:trPr>
          <w:trHeight w:val="85" w:hRule="auto"/>
          <w:jc w:val="left"/>
        </w:trPr>
        <w:tc>
          <w:tcPr>
            <w:tcW w:w="9242" w:type="dxa"/>
            <w:tcBorders>
              <w:top w:val="single" w:color="000000" w:sz="4"/>
              <w:left w:val="single" w:color="000000" w:sz="4"/>
              <w:bottom w:val="single" w:color="000000" w:sz="4"/>
              <w:right w:val="single" w:color="000000" w:sz="4"/>
            </w:tcBorders>
            <w:shd w:color="auto" w:fill="000000" w:val="clear"/>
            <w:tcMar>
              <w:left w:w="108" w:type="dxa"/>
              <w:right w:w="108" w:type="dxa"/>
            </w:tcMar>
            <w:vAlign w:val="top"/>
          </w:tcPr>
          <w:p>
            <w:pPr>
              <w:numPr>
                <w:ilvl w:val="0"/>
                <w:numId w:val="21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CONCLUSION</w:t>
            </w:r>
          </w:p>
        </w:tc>
      </w:tr>
      <w:tr>
        <w:trPr>
          <w:trHeight w:val="1417" w:hRule="auto"/>
          <w:jc w:val="left"/>
        </w:trPr>
        <w:tc>
          <w:tcPr>
            <w:tcW w:w="924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conclusion all trained safety reps be assessibable to all on the worksites and update all personel including contracyors will be made aware of all safety issues and be included in all consultation and co-operation so the worksite is kept safe and hazard free or hazards be minamized for all concerned</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services are more likely to be supplied by contractors? </w:t>
              <w:br/>
              <w:t xml:space="preserve">Select all that apply.   </w:t>
              <w:br/>
              <w:tab/>
              <w:t xml:space="preserve"> &gt;   repair work</w:t>
              <w:br/>
              <w:tab/>
              <w:t xml:space="preserve"> &gt;Installation of equipment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Reception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Managers</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3"/>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definition for ‘worker’ under the </w:t>
            </w:r>
            <w:r>
              <w:rPr>
                <w:rFonts w:ascii="Calibri" w:hAnsi="Calibri" w:cs="Calibri" w:eastAsia="Calibri"/>
                <w:i/>
                <w:color w:val="auto"/>
                <w:spacing w:val="0"/>
                <w:position w:val="0"/>
                <w:sz w:val="22"/>
                <w:shd w:fill="auto" w:val="clear"/>
              </w:rPr>
              <w:t xml:space="preserve">Work Health and Safety Act 2011 </w:t>
            </w:r>
            <w:r>
              <w:rPr>
                <w:rFonts w:ascii="Calibri" w:hAnsi="Calibri" w:cs="Calibri" w:eastAsia="Calibri"/>
                <w:color w:val="auto"/>
                <w:spacing w:val="0"/>
                <w:position w:val="0"/>
                <w:sz w:val="22"/>
                <w:shd w:fill="auto" w:val="clear"/>
              </w:rPr>
              <w:t xml:space="preserve">(Qld) includes contractors.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&gt;True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contractors are not employees, they are not required to be consulted with regards to WHS matters.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&gt;False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Due to the different nature of contractor arrangements, contractors may be required to have a separate workplace induction.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&gt;True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information relevant to a contractor must be exclusively included in their contract.</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&gt;</w:t>
              <w:tab/>
              <w:t xml:space="preserve">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THIRD PARTY REPORT</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to have a suitable third party to verify your ability to complete the following:</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936"/>
        <w:gridCol w:w="4244"/>
        <w:gridCol w:w="1062"/>
      </w:tblGrid>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SKILLS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VERIFIED</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7"/>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Access contracts and other relevant contract documentation, information and data.</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1"/>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Assist with identifying areas of contractor WHS arrangements needing improvement, with respect to legislation and best practice. </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5"/>
              </w:numPr>
              <w:spacing w:before="0" w:after="0" w:line="240"/>
              <w:ind w:right="0" w:left="360"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Assist with developing improvements to contractor WHS arrangements. </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8"/>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Assist with implementing improvements to contractor WHS arrangements.</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2"/>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Assist with evaluating improvements to contractor WHS arrangements.</w:t>
            </w:r>
          </w:p>
          <w:p>
            <w:pPr>
              <w:spacing w:before="0" w:after="0" w:line="240"/>
              <w:ind w:right="0" w:left="0" w:firstLine="0"/>
              <w:jc w:val="left"/>
              <w:rPr>
                <w:rFonts w:ascii="Calibri" w:hAnsi="Calibri" w:cs="Calibri" w:eastAsia="Calibri"/>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2102" w:hRule="auto"/>
          <w:jc w:val="left"/>
        </w:trPr>
        <w:tc>
          <w:tcPr>
            <w:tcW w:w="818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7"/>
              </w:numPr>
              <w:spacing w:before="0" w:after="0" w:line="240"/>
              <w:ind w:right="0" w:left="36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Prepare evaluation reports and other communications for a range of target groups, including:</w:t>
            </w:r>
          </w:p>
          <w:p>
            <w:pPr>
              <w:numPr>
                <w:ilvl w:val="0"/>
                <w:numId w:val="297"/>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Health and safety committees</w:t>
            </w:r>
          </w:p>
          <w:p>
            <w:pPr>
              <w:numPr>
                <w:ilvl w:val="0"/>
                <w:numId w:val="297"/>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Health and safety representatives</w:t>
            </w:r>
          </w:p>
          <w:p>
            <w:pPr>
              <w:numPr>
                <w:ilvl w:val="0"/>
                <w:numId w:val="297"/>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Managers</w:t>
            </w:r>
          </w:p>
          <w:p>
            <w:pPr>
              <w:numPr>
                <w:ilvl w:val="0"/>
                <w:numId w:val="297"/>
              </w:numPr>
              <w:spacing w:before="0" w:after="0" w:line="240"/>
              <w:ind w:right="0" w:left="709"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Supervisors</w:t>
            </w:r>
          </w:p>
          <w:p>
            <w:pPr>
              <w:numPr>
                <w:ilvl w:val="0"/>
                <w:numId w:val="297"/>
              </w:numPr>
              <w:spacing w:before="0" w:after="0" w:line="240"/>
              <w:ind w:right="0" w:left="709"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Persons Conducting Businesses or Undertakings (PCBUs) or their officers</w:t>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Kevin Scott</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Role of third party </w:t>
              <w:br/>
              <w:t xml:space="preserve">(Confirm their suitability to sign report)</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Safety Rep/union delegate</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report completion 26/09/15</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hone number of third party  </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0467031649</w:t>
            </w:r>
          </w:p>
        </w:tc>
      </w:tr>
      <w:tr>
        <w:trPr>
          <w:trHeight w:val="567"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Email address of third party</w:t>
            </w:r>
          </w:p>
        </w:tc>
        <w:tc>
          <w:tcPr>
            <w:tcW w:w="53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kscott75@bigpond.com</w:t>
            </w:r>
          </w:p>
        </w:tc>
      </w:tr>
      <w:tr>
        <w:trPr>
          <w:trHeight w:val="850" w:hRule="auto"/>
          <w:jc w:val="left"/>
        </w:trPr>
        <w:tc>
          <w:tcPr>
            <w:tcW w:w="39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Signature of third party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K.Scott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Third Party Report</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num w:numId="40">
    <w:abstractNumId w:val="180"/>
  </w:num>
  <w:num w:numId="48">
    <w:abstractNumId w:val="174"/>
  </w:num>
  <w:num w:numId="52">
    <w:abstractNumId w:val="168"/>
  </w:num>
  <w:num w:numId="55">
    <w:abstractNumId w:val="162"/>
  </w:num>
  <w:num w:numId="59">
    <w:abstractNumId w:val="156"/>
  </w:num>
  <w:num w:numId="74">
    <w:abstractNumId w:val="150"/>
  </w:num>
  <w:num w:numId="77">
    <w:abstractNumId w:val="144"/>
  </w:num>
  <w:num w:numId="99">
    <w:abstractNumId w:val="138"/>
  </w:num>
  <w:num w:numId="103">
    <w:abstractNumId w:val="132"/>
  </w:num>
  <w:num w:numId="130">
    <w:abstractNumId w:val="126"/>
  </w:num>
  <w:num w:numId="134">
    <w:abstractNumId w:val="120"/>
  </w:num>
  <w:num w:numId="167">
    <w:abstractNumId w:val="114"/>
  </w:num>
  <w:num w:numId="171">
    <w:abstractNumId w:val="108"/>
  </w:num>
  <w:num w:numId="184">
    <w:abstractNumId w:val="102"/>
  </w:num>
  <w:num w:numId="189">
    <w:abstractNumId w:val="96"/>
  </w:num>
  <w:num w:numId="195">
    <w:abstractNumId w:val="90"/>
  </w:num>
  <w:num w:numId="201">
    <w:abstractNumId w:val="84"/>
  </w:num>
  <w:num w:numId="207">
    <w:abstractNumId w:val="78"/>
  </w:num>
  <w:num w:numId="213">
    <w:abstractNumId w:val="72"/>
  </w:num>
  <w:num w:numId="219">
    <w:abstractNumId w:val="66"/>
  </w:num>
  <w:num w:numId="239">
    <w:abstractNumId w:val="60"/>
  </w:num>
  <w:num w:numId="243">
    <w:abstractNumId w:val="54"/>
  </w:num>
  <w:num w:numId="247">
    <w:abstractNumId w:val="48"/>
  </w:num>
  <w:num w:numId="251">
    <w:abstractNumId w:val="42"/>
  </w:num>
  <w:num w:numId="255">
    <w:abstractNumId w:val="36"/>
  </w:num>
  <w:num w:numId="277">
    <w:abstractNumId w:val="30"/>
  </w:num>
  <w:num w:numId="281">
    <w:abstractNumId w:val="24"/>
  </w:num>
  <w:num w:numId="285">
    <w:abstractNumId w:val="18"/>
  </w:num>
  <w:num w:numId="288">
    <w:abstractNumId w:val="12"/>
  </w:num>
  <w:num w:numId="292">
    <w:abstractNumId w:val="6"/>
  </w:num>
  <w:num w:numId="29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www.legislation.qld.gov.au/" Id="docRId7" Type="http://schemas.openxmlformats.org/officeDocument/2006/relationships/hyperlink"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Mode="External" Target="http://www.legislation.qld.gov.au/" Id="docRId4" Type="http://schemas.openxmlformats.org/officeDocument/2006/relationships/hyperlink" /><Relationship TargetMode="External" Target="http://www.legislation.qld.gov.au/" Id="docRId6" Type="http://schemas.openxmlformats.org/officeDocument/2006/relationships/hyperlink" /><Relationship TargetMode="External" Target="http://www.safeworkaustralia.gov.au/" Id="docRId8" Type="http://schemas.openxmlformats.org/officeDocument/2006/relationships/hyperlink" /><Relationship Target="media/image0.wmf" Id="docRId1" Type="http://schemas.openxmlformats.org/officeDocument/2006/relationships/image" /><Relationship Target="styles.xml" Id="docRId11" Type="http://schemas.openxmlformats.org/officeDocument/2006/relationships/styles" /><Relationship TargetMode="External" Target="http://www.legislation.qld.gov.au/" Id="docRId5" Type="http://schemas.openxmlformats.org/officeDocument/2006/relationships/hyperlink" /><Relationship TargetMode="External" Target="http://www.safeworkaustralia.gov.au/" Id="docRId9" Type="http://schemas.openxmlformats.org/officeDocument/2006/relationships/hyperlink" /></Relationships>
</file>