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object w:dxaOrig="1014" w:dyaOrig="984">
          <v:rect xmlns:o="urn:schemas-microsoft-com:office:office" xmlns:v="urn:schemas-microsoft-com:vml" id="rectole0000000000" style="width:50.700000pt;height:49.2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object w:dxaOrig="10063" w:dyaOrig="6007">
          <v:rect xmlns:o="urn:schemas-microsoft-com:office:office" xmlns:v="urn:schemas-microsoft-com:vml" id="rectole0000000001" style="width:503.150000pt;height:300.3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  <w:r>
        <w:object w:dxaOrig="3204" w:dyaOrig="3188">
          <v:rect xmlns:o="urn:schemas-microsoft-com:office:office" xmlns:v="urn:schemas-microsoft-com:vml" id="rectole0000000002" style="width:160.200000pt;height:159.4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FF9B0D"/>
          <w:spacing w:val="0"/>
          <w:position w:val="0"/>
          <w:sz w:val="40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4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Copyright © 2015 CSTC Pty Ltd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All rights reserved.  No part of the contents of this publication may be reproduced or used in any form or by any means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graphic, electronic, or mechanical including photocopying, digitizing, recording, or information storage-and-retrieval systems 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without the written permission of CSTC Pty Ltd. </w:t>
      </w: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  <w:t xml:space="preserve">This learning product could only be made possible because of the dedicated CSTC team.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232F84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232F84" w:val="clear"/>
        </w:rPr>
        <w:t xml:space="preserve">ASSESSMENT FOR BSBWHS409A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085"/>
        <w:gridCol w:w="6150"/>
      </w:tblGrid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Student name</w:t>
            </w:r>
          </w:p>
        </w:tc>
        <w:tc>
          <w:tcPr>
            <w:tcW w:w="61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Glenn Roberts</w:t>
            </w:r>
          </w:p>
        </w:tc>
      </w:tr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 of assessment submission  28/09/15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085"/>
        <w:gridCol w:w="6150"/>
      </w:tblGrid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Trainer/Assessor’s name</w:t>
            </w:r>
          </w:p>
        </w:tc>
        <w:tc>
          <w:tcPr>
            <w:tcW w:w="61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 of assessment marking</w:t>
            </w:r>
          </w:p>
        </w:tc>
      </w:tr>
      <w:tr>
        <w:trPr>
          <w:trHeight w:val="1" w:hRule="atLeast"/>
          <w:jc w:val="left"/>
        </w:trPr>
        <w:tc>
          <w:tcPr>
            <w:tcW w:w="30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unit</w:t>
            </w:r>
          </w:p>
        </w:tc>
        <w:tc>
          <w:tcPr>
            <w:tcW w:w="61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Competent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Yet Competent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  <w:t xml:space="preserve">TASK INSTRUCTIONS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38"/>
        </w:numPr>
        <w:spacing w:before="0" w:after="0" w:line="240"/>
        <w:ind w:right="0" w:left="36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assessment for this unit of competency consists of the following:</w:t>
      </w:r>
    </w:p>
    <w:p>
      <w:pPr>
        <w:numPr>
          <w:ilvl w:val="0"/>
          <w:numId w:val="38"/>
        </w:numPr>
        <w:spacing w:before="0" w:after="0" w:line="240"/>
        <w:ind w:right="0" w:left="108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 series of activities: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Some of these activities will require you to provide a response within this document, others will require you to gather evidence to demonstrate your knowledge and skills (overview below)</w:t>
      </w:r>
    </w:p>
    <w:p>
      <w:pPr>
        <w:numPr>
          <w:ilvl w:val="0"/>
          <w:numId w:val="38"/>
        </w:numPr>
        <w:spacing w:before="0" w:after="0" w:line="240"/>
        <w:ind w:right="0" w:left="108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Quiz: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will be required to complete a series of questions to demonstrate your knowledge and skills. </w:t>
      </w:r>
    </w:p>
    <w:p>
      <w:pPr>
        <w:numPr>
          <w:ilvl w:val="0"/>
          <w:numId w:val="38"/>
        </w:numPr>
        <w:spacing w:before="0" w:after="0" w:line="240"/>
        <w:ind w:right="0" w:left="108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Third Party Report: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You will be required to have a third party attest to your knowledge and skills and sign a report to this effect. </w:t>
      </w:r>
    </w:p>
    <w:p>
      <w:pPr>
        <w:numPr>
          <w:ilvl w:val="0"/>
          <w:numId w:val="38"/>
        </w:numPr>
        <w:spacing w:before="0" w:after="0" w:line="240"/>
        <w:ind w:right="0" w:left="36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times, you will be provided with a specific business context to which you must respond, otherwise it is anticipated that you will use a workplace of your choosing (your own, or hypothetical) to provide the context to the task.</w:t>
      </w:r>
    </w:p>
    <w:p>
      <w:pPr>
        <w:numPr>
          <w:ilvl w:val="0"/>
          <w:numId w:val="38"/>
        </w:numPr>
        <w:spacing w:before="0" w:after="0" w:line="240"/>
        <w:ind w:right="0" w:left="36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At all times, the responses in your assessment must reference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Australian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(Queensland or Federal) documentation, including legislation, regulations, codes of practice, standards and guidance publications.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4508"/>
        <w:gridCol w:w="4741"/>
      </w:tblGrid>
      <w:tr>
        <w:trPr>
          <w:trHeight w:val="1" w:hRule="atLeast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ACTIVITY OVERVIEW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REQUIRED FOR SUBMISSION</w:t>
            </w:r>
          </w:p>
        </w:tc>
      </w:tr>
      <w:tr>
        <w:trPr>
          <w:trHeight w:val="102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6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Regulatory requirements and standards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70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6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Characteristics of agents and conditions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70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6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Consultation with others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  <w:tr>
        <w:trPr>
          <w:trHeight w:val="273" w:hRule="auto"/>
          <w:jc w:val="left"/>
        </w:trPr>
        <w:tc>
          <w:tcPr>
            <w:tcW w:w="45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6"/>
              </w:numPr>
              <w:spacing w:before="0" w:after="0" w:line="240"/>
              <w:ind w:right="0" w:left="426" w:hanging="36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Documenting and evaluating results</w:t>
            </w:r>
          </w:p>
        </w:tc>
        <w:tc>
          <w:tcPr>
            <w:tcW w:w="47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46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Workbook response (below)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  <w:t xml:space="preserve">ACTIVITIES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For the following activities, name a workplace that you wish to examine.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292"/>
        <w:gridCol w:w="6943"/>
      </w:tblGrid>
      <w:tr>
        <w:trPr>
          <w:trHeight w:val="1" w:hRule="atLeast"/>
          <w:jc w:val="left"/>
        </w:trPr>
        <w:tc>
          <w:tcPr>
            <w:tcW w:w="22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workplace</w:t>
            </w:r>
          </w:p>
        </w:tc>
        <w:tc>
          <w:tcPr>
            <w:tcW w:w="694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 camp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72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examples from the following areas that outline requirements that apply to monitoring.</w:t>
            </w:r>
          </w:p>
          <w:p>
            <w:pPr>
              <w:numPr>
                <w:ilvl w:val="0"/>
                <w:numId w:val="76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Act</w:t>
            </w:r>
          </w:p>
          <w:p>
            <w:pPr>
              <w:numPr>
                <w:ilvl w:val="0"/>
                <w:numId w:val="76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Regulation</w:t>
            </w:r>
          </w:p>
          <w:p>
            <w:pPr>
              <w:numPr>
                <w:ilvl w:val="0"/>
                <w:numId w:val="76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Code of practice</w:t>
            </w:r>
          </w:p>
          <w:p>
            <w:pPr>
              <w:numPr>
                <w:ilvl w:val="0"/>
                <w:numId w:val="76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Standard</w:t>
            </w:r>
          </w:p>
          <w:p>
            <w:pPr>
              <w:numPr>
                <w:ilvl w:val="0"/>
                <w:numId w:val="76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Guidance publication</w:t>
            </w:r>
          </w:p>
          <w:p>
            <w:pPr>
              <w:numPr>
                <w:ilvl w:val="0"/>
                <w:numId w:val="76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Workplace policy</w:t>
            </w:r>
          </w:p>
          <w:p>
            <w:pPr>
              <w:numPr>
                <w:ilvl w:val="0"/>
                <w:numId w:val="76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Workplace procedure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</w:r>
    </w:p>
    <w:tbl>
      <w:tblPr/>
      <w:tblGrid>
        <w:gridCol w:w="1439"/>
        <w:gridCol w:w="2809"/>
        <w:gridCol w:w="4987"/>
      </w:tblGrid>
      <w:tr>
        <w:trPr>
          <w:trHeight w:val="1" w:hRule="atLeast"/>
          <w:jc w:val="left"/>
        </w:trPr>
        <w:tc>
          <w:tcPr>
            <w:tcW w:w="14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Document type</w:t>
            </w:r>
          </w:p>
        </w:tc>
        <w:tc>
          <w:tcPr>
            <w:tcW w:w="28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relevant document  </w:t>
              <w:br/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(e.g. Work Health and Safety Act 2011 (Qld) found at </w:t>
            </w:r>
            <w:hyperlink xmlns:r="http://schemas.openxmlformats.org/officeDocument/2006/relationships" r:id="docRId6">
              <w:r>
                <w:rPr>
                  <w:rFonts w:ascii="Calibri" w:hAnsi="Calibri" w:cs="Calibri" w:eastAsia="Calibri"/>
                  <w:i/>
                  <w:color w:val="0563C1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www.legislation.qld.gov.au</w:t>
              </w:r>
            </w:hyperlink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)</w:t>
            </w:r>
          </w:p>
        </w:tc>
        <w:tc>
          <w:tcPr>
            <w:tcW w:w="49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Relevant section for chosen workplace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(e.g. Section 7: A person is a worker if the person carriers out work in any capacity for a PCBU, including work as a contractor or subcontractor)</w:t>
            </w:r>
          </w:p>
        </w:tc>
      </w:tr>
      <w:tr>
        <w:trPr>
          <w:trHeight w:val="1134" w:hRule="auto"/>
          <w:jc w:val="left"/>
        </w:trPr>
        <w:tc>
          <w:tcPr>
            <w:tcW w:w="14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Act</w:t>
            </w:r>
          </w:p>
        </w:tc>
        <w:tc>
          <w:tcPr>
            <w:tcW w:w="28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Work Health and Safety Act 2011 (Qld) found at </w:t>
            </w:r>
            <w:hyperlink xmlns:r="http://schemas.openxmlformats.org/officeDocument/2006/relationships" r:id="docRId7">
              <w:r>
                <w:rPr>
                  <w:rFonts w:ascii="Calibri" w:hAnsi="Calibri" w:cs="Calibri" w:eastAsia="Calibri"/>
                  <w:i/>
                  <w:color w:val="0563C1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www.legislation.qld.gov.au</w:t>
              </w:r>
            </w:hyperlink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)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49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r:351, a person conducting a business  or undertaking has the primary duty to ensure that the health and safety of workers are not put at risk from work carried out in the process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14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Regulation</w:t>
            </w:r>
          </w:p>
        </w:tc>
        <w:tc>
          <w:tcPr>
            <w:tcW w:w="28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Work Health and Safety Act 2011 (Qld) found at </w:t>
            </w:r>
            <w:hyperlink xmlns:r="http://schemas.openxmlformats.org/officeDocument/2006/relationships" r:id="docRId8">
              <w:r>
                <w:rPr>
                  <w:rFonts w:ascii="Calibri" w:hAnsi="Calibri" w:cs="Calibri" w:eastAsia="Calibri"/>
                  <w:i/>
                  <w:color w:val="0563C1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www.legislation.qld.gov.au</w:t>
              </w:r>
            </w:hyperlink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)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49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regulation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49: A person conducting a business or undertaking must ensure that no person at the workplace is exposed to a substance or mixture that exceeds the revelant exposure standard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  <w:tr>
        <w:trPr>
          <w:trHeight w:val="1134" w:hRule="auto"/>
          <w:jc w:val="left"/>
        </w:trPr>
        <w:tc>
          <w:tcPr>
            <w:tcW w:w="14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Code of practice</w:t>
            </w:r>
          </w:p>
        </w:tc>
        <w:tc>
          <w:tcPr>
            <w:tcW w:w="28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  </w:t>
              <w:br/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Work Health and Safety Act 2011 (Qld) found at </w:t>
            </w:r>
            <w:hyperlink xmlns:r="http://schemas.openxmlformats.org/officeDocument/2006/relationships" r:id="docRId9">
              <w:r>
                <w:rPr>
                  <w:rFonts w:ascii="Calibri" w:hAnsi="Calibri" w:cs="Calibri" w:eastAsia="Calibri"/>
                  <w:i/>
                  <w:color w:val="0563C1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www.legislation.qld.gov.au</w:t>
              </w:r>
            </w:hyperlink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)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49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274: how to manage the risks assiciated with hazardous chemicals in the work place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14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Standard</w:t>
            </w:r>
          </w:p>
        </w:tc>
        <w:tc>
          <w:tcPr>
            <w:tcW w:w="28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hyperlink xmlns:r="http://schemas.openxmlformats.org/officeDocument/2006/relationships" r:id="docRId10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www.safeworkaustralia.com.au</w:t>
              </w:r>
            </w:hyperlink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49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r:348, must ensure a register of hazardous chemicals is prepared and kept up to date and also be readily available to workers using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  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14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Guidance publication</w:t>
            </w:r>
          </w:p>
        </w:tc>
        <w:tc>
          <w:tcPr>
            <w:tcW w:w="28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Hazardous Substance Information System (HSIS)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www.safeworkaustralia.com.au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49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r:330, Safety Data Sheets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Safety Data Labels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  <w:tr>
        <w:trPr>
          <w:trHeight w:val="1134" w:hRule="auto"/>
          <w:jc w:val="left"/>
        </w:trPr>
        <w:tc>
          <w:tcPr>
            <w:tcW w:w="14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Policy</w:t>
            </w:r>
          </w:p>
        </w:tc>
        <w:tc>
          <w:tcPr>
            <w:tcW w:w="28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hyperlink xmlns:r="http://schemas.openxmlformats.org/officeDocument/2006/relationships" r:id="docRId11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www.safeworkaustralia.com.au</w:t>
              </w:r>
            </w:hyperlink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   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49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r:49, Ensure that no person at the workplace is exposed to a substance or mixture in an airborne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cocentration that exceeds the revelant eposure standard for the substance or mixture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</w:tc>
      </w:tr>
      <w:tr>
        <w:trPr>
          <w:trHeight w:val="1134" w:hRule="auto"/>
          <w:jc w:val="left"/>
        </w:trPr>
        <w:tc>
          <w:tcPr>
            <w:tcW w:w="143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Procedure</w:t>
            </w:r>
          </w:p>
        </w:tc>
        <w:tc>
          <w:tcPr>
            <w:tcW w:w="280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hyperlink xmlns:r="http://schemas.openxmlformats.org/officeDocument/2006/relationships" r:id="docRId12">
              <w:r>
                <w:rPr>
                  <w:rFonts w:ascii="Calibri" w:hAnsi="Calibri" w:cs="Calibri" w:eastAsia="Calibri"/>
                  <w:color w:val="0000FF"/>
                  <w:spacing w:val="0"/>
                  <w:position w:val="0"/>
                  <w:sz w:val="22"/>
                  <w:u w:val="single"/>
                  <w:shd w:fill="auto" w:val="clear"/>
                </w:rPr>
                <w:t xml:space="preserve">www.safeworkaustralia.com.au</w:t>
              </w:r>
            </w:hyperlink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   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49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r:32-38, identify forseeable hazards that could occur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eliminate the risk as reasonably practicable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1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08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08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Select one (1) chemical agent, one (1) physical agent and one (1) biological agent. 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851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and a condition (i.e. symptom) that would be associated with each agent.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the characteristics of the chemical agent. You should refer to a Safety Data Sheet (SDS).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would determine the area where the measurements should be taken for the agent.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one (1) type of equipment that would be used to measure the agent. 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851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why you have selected this measuring equipment and its appropriateness for the environment, the activities being carried out and the level of risk. 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851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would calibrate, adjust and check the operability of the equipment selected. Does the equipment contain any in-built alarms?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851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the equipment is used. Be mindful of how health and safety are to be maintained and any limitations on the use and output of the equipment.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851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the scale/units this equipment measures in and how results are recorded.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851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the equipment should be maintained and stored, including dismantling, cleaning and disposal requirements.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Determine a sampling plan/process for monitoring the agent. 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851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Determine when, where and how the sampling will take place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851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work permits and written authorities you would need to obtain when conducting the monitoring activities. How do these aim to ensure safety and address privacy concerns?</w:t>
            </w:r>
          </w:p>
          <w:p>
            <w:pPr>
              <w:numPr>
                <w:ilvl w:val="0"/>
                <w:numId w:val="108"/>
              </w:numPr>
              <w:spacing w:before="0" w:after="0" w:line="240"/>
              <w:ind w:right="0" w:left="851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Determine who is responsible for the monitoring and how you would assist with conducting the tests.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1725"/>
        <w:gridCol w:w="2503"/>
        <w:gridCol w:w="2503"/>
        <w:gridCol w:w="2504"/>
      </w:tblGrid>
      <w:tr>
        <w:trPr>
          <w:trHeight w:val="1" w:hRule="atLeast"/>
          <w:jc w:val="left"/>
        </w:trPr>
        <w:tc>
          <w:tcPr>
            <w:tcW w:w="17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Chemical agent</w:t>
            </w:r>
          </w:p>
        </w:tc>
        <w:tc>
          <w:tcPr>
            <w:tcW w:w="25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Physical agent</w:t>
            </w:r>
          </w:p>
        </w:tc>
        <w:tc>
          <w:tcPr>
            <w:tcW w:w="25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Biological agent</w:t>
            </w:r>
          </w:p>
        </w:tc>
      </w:tr>
      <w:tr>
        <w:trPr>
          <w:trHeight w:val="1701" w:hRule="auto"/>
          <w:jc w:val="left"/>
        </w:trPr>
        <w:tc>
          <w:tcPr>
            <w:tcW w:w="17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agent and associated condition</w:t>
            </w:r>
          </w:p>
        </w:tc>
        <w:tc>
          <w:tcPr>
            <w:tcW w:w="25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Bitcheum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Heat and machinery to spread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  <w:tc>
          <w:tcPr>
            <w:tcW w:w="25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heat and adhering agent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adhering to workers skin/clothes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  <w:tc>
          <w:tcPr>
            <w:tcW w:w="250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Air born contaminates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breathing/respiratory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  <w:tr>
        <w:trPr>
          <w:trHeight w:val="1701" w:hRule="auto"/>
          <w:jc w:val="left"/>
        </w:trPr>
        <w:tc>
          <w:tcPr>
            <w:tcW w:w="17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Characteristics of chemical agent</w:t>
            </w:r>
          </w:p>
        </w:tc>
        <w:tc>
          <w:tcPr>
            <w:tcW w:w="751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Thick and adhering road surface dark in colour and can be toxic if not mixed properly, heat related aspects until cool and setting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701" w:hRule="auto"/>
          <w:jc w:val="left"/>
        </w:trPr>
        <w:tc>
          <w:tcPr>
            <w:tcW w:w="17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Area for measurements  for chemical agent</w:t>
            </w:r>
          </w:p>
        </w:tc>
        <w:tc>
          <w:tcPr>
            <w:tcW w:w="751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 term given to sampling of a defined area or workplace. Area sampling provides a 'big picture' view of the area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701" w:hRule="auto"/>
          <w:jc w:val="left"/>
        </w:trPr>
        <w:tc>
          <w:tcPr>
            <w:tcW w:w="17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Measuring equipment for chemical agent</w:t>
            </w:r>
          </w:p>
        </w:tc>
        <w:tc>
          <w:tcPr>
            <w:tcW w:w="751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Personal sampling: a device worn by the worker-advantage of sampling the direct enviroment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701" w:hRule="auto"/>
          <w:jc w:val="left"/>
        </w:trPr>
        <w:tc>
          <w:tcPr>
            <w:tcW w:w="17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Sampling process for chemical agent</w:t>
            </w:r>
          </w:p>
        </w:tc>
        <w:tc>
          <w:tcPr>
            <w:tcW w:w="751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self monitoring device worn around neck and heat monitoring device (DRDs)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2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44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44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Which individuals and parties might you consult when identifying agents and conditions in the workplace?</w:t>
            </w:r>
          </w:p>
          <w:p>
            <w:pPr>
              <w:numPr>
                <w:ilvl w:val="0"/>
                <w:numId w:val="144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Who might you consult with when collecting information and data about the requirements, nature and purpose of the monitoring?</w:t>
            </w:r>
          </w:p>
          <w:p>
            <w:pPr>
              <w:numPr>
                <w:ilvl w:val="0"/>
                <w:numId w:val="144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Describe a situation where you might need to seek expert advice and equipment, due to limits in your own expertise and available equipment. 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403"/>
        <w:gridCol w:w="8846"/>
      </w:tblGrid>
      <w:tr>
        <w:trPr>
          <w:trHeight w:val="1" w:hRule="atLeast"/>
          <w:jc w:val="left"/>
        </w:trPr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8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Response</w:t>
            </w:r>
          </w:p>
        </w:tc>
      </w:tr>
      <w:tr>
        <w:trPr>
          <w:trHeight w:val="1134" w:hRule="auto"/>
          <w:jc w:val="left"/>
        </w:trPr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a)</w:t>
            </w:r>
          </w:p>
        </w:tc>
        <w:tc>
          <w:tcPr>
            <w:tcW w:w="88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consultation between workers and affected parties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b)</w:t>
            </w:r>
          </w:p>
        </w:tc>
        <w:tc>
          <w:tcPr>
            <w:tcW w:w="88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workplace supervisor (with permission)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making sure you advise the workers and hsrs the reasons for the monitoring and the outcomes you are hoping to achieve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</w:p>
        </w:tc>
      </w:tr>
      <w:tr>
        <w:trPr>
          <w:trHeight w:val="1134" w:hRule="auto"/>
          <w:jc w:val="left"/>
        </w:trPr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c)</w:t>
            </w:r>
          </w:p>
        </w:tc>
        <w:tc>
          <w:tcPr>
            <w:tcW w:w="88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 a situation where you have not previously been involved in the said use of chemical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SDS sheets inform you on use and needed equipment nessary if not contact the manufactorer to clarify what is needed 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3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9235"/>
      </w:tblGrid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69"/>
              </w:numPr>
              <w:spacing w:before="0" w:after="0" w:line="240"/>
              <w:ind w:right="0" w:left="397" w:hanging="397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92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e599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169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When interpreting and evaluating results you have collected, why should you compare them against a recognised standard?</w:t>
            </w: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Are there any limitations with exposure standards?</w:t>
            </w: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might assist with preparing reports on the monitoring process and ensure that regulatory requirements have been met. </w:t>
            </w: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What would be the purpose of the report?</w:t>
            </w: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Who would be included in the target audience?</w:t>
            </w: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How soon should such information be presented? Justify your response. </w:t>
            </w: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72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you would consider others’ privacy in the delivery of the results</w:t>
            </w: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presenting information and data in a graph can assist with identifying trends.  </w:t>
            </w: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Identify a format that would allow you to retain results and records.</w:t>
            </w: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the results and records can be readily retrieved </w:t>
            </w:r>
          </w:p>
          <w:p>
            <w:pPr>
              <w:numPr>
                <w:ilvl w:val="0"/>
                <w:numId w:val="169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Explain how the results would be securely kept for privacy purposes. 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403"/>
        <w:gridCol w:w="8846"/>
      </w:tblGrid>
      <w:tr>
        <w:trPr>
          <w:trHeight w:val="1" w:hRule="atLeast"/>
          <w:jc w:val="left"/>
        </w:trPr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8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9d9d9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Response</w:t>
            </w:r>
          </w:p>
        </w:tc>
      </w:tr>
      <w:tr>
        <w:trPr>
          <w:trHeight w:val="1134" w:hRule="auto"/>
          <w:jc w:val="left"/>
        </w:trPr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a)</w:t>
            </w:r>
          </w:p>
        </w:tc>
        <w:tc>
          <w:tcPr>
            <w:tcW w:w="88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Monitoriting requirements may change on a daily or hourly basisand may need to be redined for the enviroment it is being used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Limitations may be with checking and monitoring constantly involving workers, consultants and operators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b)</w:t>
            </w:r>
          </w:p>
        </w:tc>
        <w:tc>
          <w:tcPr>
            <w:tcW w:w="88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assisting by organising inductions,ordering test equipment and completing risk assesments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purpose of a report would be so it can show compliance with regulations and policy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workers and all stakeholders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information should be presented on a regular basis,privacy in all matters so as you treat all ethically </w:t>
            </w:r>
          </w:p>
        </w:tc>
      </w:tr>
      <w:tr>
        <w:trPr>
          <w:trHeight w:val="1134" w:hRule="auto"/>
          <w:jc w:val="left"/>
        </w:trPr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c)</w:t>
            </w:r>
          </w:p>
        </w:tc>
        <w:tc>
          <w:tcPr>
            <w:tcW w:w="88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stakeholders can understand easier so the stakeholders can make sense and easier understand all that is being reported easir with all other attached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  <w:tr>
        <w:trPr>
          <w:trHeight w:val="1134" w:hRule="auto"/>
          <w:jc w:val="left"/>
        </w:trPr>
        <w:tc>
          <w:tcPr>
            <w:tcW w:w="40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d)</w:t>
            </w:r>
          </w:p>
        </w:tc>
        <w:tc>
          <w:tcPr>
            <w:tcW w:w="88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 format is one that easily understood by charts and visual descripitions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The results can be retrieved from the revelant person who is in charge in report form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Data should be secured in a secure locked storage or if on electronic device, be password protected and copy kept offsite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Activity 4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  <w:t xml:space="preserve">QUIZ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8180"/>
        <w:gridCol w:w="1062"/>
      </w:tblGrid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QUESTIONS</w:t>
            </w: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CORRECT</w:t>
            </w: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06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Could an inspector enter a workplace, under section 354 of the 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Industrial Relations Act 1999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(Qld), for the purpose of undertaking monitoring processes and collating data?   </w:t>
              <w:br/>
              <w:tab/>
              <w:t xml:space="preserve"> </w:t>
              <w:tab/>
              <w:t xml:space="preserve">&gt;Yes </w:t>
              <w:br/>
              <w:tab/>
              <w:t xml:space="preserve"> </w:t>
              <w:tab/>
              <w:t xml:space="preserve">No </w:t>
              <w:br/>
              <w:tab/>
            </w: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09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Section 10 of the 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Anti-Discrimination Act 1991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(Qld) outlines that if a capable job candidate suffers an impairment due to the presence of an agent and/or condition in the workplace (and thus requires special services or facilities), they cannot be discriminated against during an employment interview.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&gt;True</w:t>
              <w:br/>
              <w:tab/>
              <w:t xml:space="preserve"> </w:t>
              <w:tab/>
              <w:t xml:space="preserve">False</w:t>
              <w:br/>
            </w: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13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As part of ensuring a workplace is ready for a return-to-work program, developed in conjunction with the </w:t>
            </w:r>
            <w:r>
              <w:rPr>
                <w:rFonts w:ascii="Calibri" w:hAnsi="Calibri" w:cs="Calibri" w:eastAsia="Calibri"/>
                <w:i/>
                <w:color w:val="auto"/>
                <w:spacing w:val="0"/>
                <w:position w:val="0"/>
                <w:sz w:val="22"/>
                <w:shd w:fill="auto" w:val="clear"/>
              </w:rPr>
              <w:t xml:space="preserve">Workers’ Compensation and Rehabilitation Act 2003 (Qld)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, a PCBU may be required to monitor agents, assist with their removal and document this.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True</w:t>
              <w:br/>
              <w:tab/>
              <w:t xml:space="preserve"> </w:t>
              <w:tab/>
              <w:t xml:space="preserve">&gt;False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17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When determining the area where measurements are to be taken, which of the following should be taken into consideration? Select all that apply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&gt;Movements of people </w:t>
              <w:br/>
              <w:tab/>
              <w:t xml:space="preserve"> </w:t>
              <w:tab/>
              <w:t xml:space="preserve">&gt;Tasks or activities occurring the in the workplace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When work is undertaken and when lunch time is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&gt;Whether the equipment emits something (e.g. light and sound)</w:t>
              <w:br/>
            </w: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21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In which circumstances may you be required to consult with another party during the monitoring process? Select all that apply.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&gt;When determining the agent and/or condition to be monitored</w:t>
              <w:br/>
              <w:tab/>
              <w:t xml:space="preserve"> </w:t>
              <w:tab/>
              <w:t xml:space="preserve">For advice on which equipment to select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&gt;When recording readings</w:t>
              <w:br/>
              <w:tab/>
              <w:t xml:space="preserve"> </w:t>
              <w:tab/>
              <w:t xml:space="preserve">&gt;To determine the nature of the problem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26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Which of the following information and data must be presented to relevant parties? Select all that apply.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&gt;Interpretation of results</w:t>
              <w:br/>
              <w:tab/>
              <w:t xml:space="preserve"> </w:t>
              <w:tab/>
              <w:t xml:space="preserve">&gt;The process undertaken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Information about equipment that was not used</w:t>
              <w:br/>
              <w:tab/>
              <w:t xml:space="preserve"> </w:t>
              <w:tab/>
              <w:t xml:space="preserve">&gt;Effects for workers and the workplace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8180"/>
        <w:gridCol w:w="1062"/>
      </w:tblGrid>
      <w:tr>
        <w:trPr>
          <w:trHeight w:val="1" w:hRule="atLeast"/>
          <w:jc w:val="left"/>
        </w:trPr>
        <w:tc>
          <w:tcPr>
            <w:tcW w:w="81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32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If it is discovered during the monitoring process that a worker is exposed to serious risk due to an uncontrolled leakage of a substance, the PCBU can choose to control the leakage, rather than notifying the WHS regulator. 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ab/>
              <w:t xml:space="preserve"> </w:t>
              <w:tab/>
              <w:t xml:space="preserve">True</w:t>
              <w:br/>
              <w:tab/>
              <w:t xml:space="preserve"> </w:t>
              <w:tab/>
              <w:t xml:space="preserve">&gt;False</w:t>
              <w:br/>
            </w:r>
          </w:p>
        </w:tc>
        <w:tc>
          <w:tcPr>
            <w:tcW w:w="10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Quiz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F99D31" w:val="clear"/>
        </w:rPr>
        <w:t xml:space="preserve">THIRD PARTY REPORT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You are required to have a suitable third party to verify your ability to complete the following: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3934"/>
        <w:gridCol w:w="3627"/>
        <w:gridCol w:w="1681"/>
      </w:tblGrid>
      <w:tr>
        <w:trPr>
          <w:trHeight w:val="1" w:hRule="atLeast"/>
          <w:jc w:val="left"/>
        </w:trPr>
        <w:tc>
          <w:tcPr>
            <w:tcW w:w="75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SKILLS</w:t>
            </w: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VERIFIED</w:t>
            </w:r>
          </w:p>
        </w:tc>
      </w:tr>
      <w:tr>
        <w:trPr>
          <w:trHeight w:val="1" w:hRule="atLeast"/>
          <w:jc w:val="left"/>
        </w:trPr>
        <w:tc>
          <w:tcPr>
            <w:tcW w:w="75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54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Consult with relevant individuals and parties to identify agent and/or condition to be measured.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1" w:hRule="atLeast"/>
          <w:jc w:val="left"/>
        </w:trPr>
        <w:tc>
          <w:tcPr>
            <w:tcW w:w="75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58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Determine the area where measurements are to be taken and appropriate equipment (seeking assistance and gaining permits where required).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1" w:hRule="atLeast"/>
          <w:jc w:val="left"/>
        </w:trPr>
        <w:tc>
          <w:tcPr>
            <w:tcW w:w="75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62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Plan and undertake sampling processes and plans in a logical and timely manner.</w:t>
            </w: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1" w:hRule="atLeast"/>
          <w:jc w:val="left"/>
        </w:trPr>
        <w:tc>
          <w:tcPr>
            <w:tcW w:w="75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65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Appropriately use equipment to conduct tests and record information and data.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1" w:hRule="atLeast"/>
          <w:jc w:val="left"/>
        </w:trPr>
        <w:tc>
          <w:tcPr>
            <w:tcW w:w="75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69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Clean, dismantle and store equipment, as required.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1" w:hRule="atLeast"/>
          <w:jc w:val="left"/>
        </w:trPr>
        <w:tc>
          <w:tcPr>
            <w:tcW w:w="75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73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Interpret and evaluate results, presenting information clearly and logically (including graphs).</w:t>
            </w:r>
          </w:p>
          <w:p>
            <w:pPr>
              <w:spacing w:before="0" w:after="0" w:line="240"/>
              <w:ind w:right="0" w:left="36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 </w:t>
            </w: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2102" w:hRule="auto"/>
          <w:jc w:val="left"/>
        </w:trPr>
        <w:tc>
          <w:tcPr>
            <w:tcW w:w="75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78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Prepare evaluation reports and other communications for a range of target groups, including:</w:t>
            </w:r>
          </w:p>
          <w:p>
            <w:pPr>
              <w:numPr>
                <w:ilvl w:val="0"/>
                <w:numId w:val="278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Health and safety committees</w:t>
            </w:r>
          </w:p>
          <w:p>
            <w:pPr>
              <w:numPr>
                <w:ilvl w:val="0"/>
                <w:numId w:val="278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Health and safety representatives</w:t>
            </w:r>
          </w:p>
          <w:p>
            <w:pPr>
              <w:numPr>
                <w:ilvl w:val="0"/>
                <w:numId w:val="278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Managers</w:t>
            </w:r>
          </w:p>
          <w:p>
            <w:pPr>
              <w:numPr>
                <w:ilvl w:val="0"/>
                <w:numId w:val="278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Supervisors</w:t>
            </w:r>
          </w:p>
          <w:p>
            <w:pPr>
              <w:numPr>
                <w:ilvl w:val="0"/>
                <w:numId w:val="278"/>
              </w:numPr>
              <w:spacing w:before="0" w:after="0" w:line="240"/>
              <w:ind w:right="0" w:left="709" w:hanging="36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Persons Conducting Businesses or Undertakings (PCBUs) or their officers</w:t>
            </w: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191" w:hRule="auto"/>
          <w:jc w:val="left"/>
        </w:trPr>
        <w:tc>
          <w:tcPr>
            <w:tcW w:w="7561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283"/>
              </w:numPr>
              <w:spacing w:before="0" w:after="0" w:line="240"/>
              <w:ind w:right="0" w:left="360" w:hanging="36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2"/>
                <w:shd w:fill="auto" w:val="clear"/>
              </w:rPr>
              <w:t xml:space="preserve">Assist with filing or results and records, as per requirements (including WHS, privacy and other legislative requirements).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yes</w:t>
            </w:r>
          </w:p>
        </w:tc>
      </w:tr>
      <w:tr>
        <w:trPr>
          <w:trHeight w:val="567" w:hRule="auto"/>
          <w:jc w:val="left"/>
        </w:trPr>
        <w:tc>
          <w:tcPr>
            <w:tcW w:w="39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Name of third party</w:t>
            </w:r>
          </w:p>
        </w:tc>
        <w:tc>
          <w:tcPr>
            <w:tcW w:w="530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Kevin Scott</w:t>
            </w:r>
          </w:p>
        </w:tc>
      </w:tr>
      <w:tr>
        <w:trPr>
          <w:trHeight w:val="567" w:hRule="auto"/>
          <w:jc w:val="left"/>
        </w:trPr>
        <w:tc>
          <w:tcPr>
            <w:tcW w:w="39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Role of third party </w:t>
              <w:br/>
              <w:t xml:space="preserve">(Confirm their suitability to sign report)</w:t>
            </w:r>
          </w:p>
        </w:tc>
        <w:tc>
          <w:tcPr>
            <w:tcW w:w="530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safety rep/union delegate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</w:tc>
      </w:tr>
      <w:tr>
        <w:trPr>
          <w:trHeight w:val="567" w:hRule="auto"/>
          <w:jc w:val="left"/>
        </w:trPr>
        <w:tc>
          <w:tcPr>
            <w:tcW w:w="39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Date of report completion  28/09/15</w:t>
            </w:r>
          </w:p>
        </w:tc>
      </w:tr>
      <w:tr>
        <w:trPr>
          <w:trHeight w:val="567" w:hRule="auto"/>
          <w:jc w:val="left"/>
        </w:trPr>
        <w:tc>
          <w:tcPr>
            <w:tcW w:w="39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Phone number of third party</w:t>
            </w:r>
          </w:p>
        </w:tc>
        <w:tc>
          <w:tcPr>
            <w:tcW w:w="530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0467031640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</w:tc>
      </w:tr>
      <w:tr>
        <w:trPr>
          <w:trHeight w:val="567" w:hRule="auto"/>
          <w:jc w:val="left"/>
        </w:trPr>
        <w:tc>
          <w:tcPr>
            <w:tcW w:w="39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Email address of third party</w:t>
            </w:r>
          </w:p>
        </w:tc>
        <w:tc>
          <w:tcPr>
            <w:tcW w:w="530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kscott.75@bigpond.com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</w:t>
            </w:r>
          </w:p>
        </w:tc>
      </w:tr>
      <w:tr>
        <w:trPr>
          <w:trHeight w:val="850" w:hRule="auto"/>
          <w:jc w:val="left"/>
        </w:trPr>
        <w:tc>
          <w:tcPr>
            <w:tcW w:w="39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Signature of third party  K. Scott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802"/>
        <w:gridCol w:w="6440"/>
      </w:tblGrid>
      <w:tr>
        <w:trPr>
          <w:trHeight w:val="1" w:hRule="atLeast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Outcome for Third Party Report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Satisfactory </w:t>
              <w:tab/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Not satisfactory</w:t>
            </w:r>
          </w:p>
        </w:tc>
      </w:tr>
      <w:tr>
        <w:trPr>
          <w:trHeight w:val="2835" w:hRule="auto"/>
          <w:jc w:val="left"/>
        </w:trPr>
        <w:tc>
          <w:tcPr>
            <w:tcW w:w="2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232f84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Trainer/Assessor comments</w:t>
            </w:r>
          </w:p>
        </w:tc>
        <w:tc>
          <w:tcPr>
            <w:tcW w:w="644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     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abstractNum w:abstractNumId="132">
    <w:lvl w:ilvl="0">
      <w:start w:val="1"/>
      <w:numFmt w:val="bullet"/>
      <w:lvlText w:val="•"/>
    </w:lvl>
  </w:abstractNum>
  <w:abstractNum w:abstractNumId="138">
    <w:lvl w:ilvl="0">
      <w:start w:val="1"/>
      <w:numFmt w:val="bullet"/>
      <w:lvlText w:val="•"/>
    </w:lvl>
  </w:abstractNum>
  <w:abstractNum w:abstractNumId="144">
    <w:lvl w:ilvl="0">
      <w:start w:val="1"/>
      <w:numFmt w:val="bullet"/>
      <w:lvlText w:val="•"/>
    </w:lvl>
  </w:abstractNum>
  <w:abstractNum w:abstractNumId="150">
    <w:lvl w:ilvl="0">
      <w:start w:val="1"/>
      <w:numFmt w:val="bullet"/>
      <w:lvlText w:val="•"/>
    </w:lvl>
  </w:abstractNum>
  <w:abstractNum w:abstractNumId="156">
    <w:lvl w:ilvl="0">
      <w:start w:val="1"/>
      <w:numFmt w:val="bullet"/>
      <w:lvlText w:val="•"/>
    </w:lvl>
  </w:abstractNum>
  <w:abstractNum w:abstractNumId="162">
    <w:lvl w:ilvl="0">
      <w:start w:val="1"/>
      <w:numFmt w:val="bullet"/>
      <w:lvlText w:val="•"/>
    </w:lvl>
  </w:abstractNum>
  <w:num w:numId="38">
    <w:abstractNumId w:val="162"/>
  </w:num>
  <w:num w:numId="46">
    <w:abstractNumId w:val="156"/>
  </w:num>
  <w:num w:numId="50">
    <w:abstractNumId w:val="150"/>
  </w:num>
  <w:num w:numId="53">
    <w:abstractNumId w:val="144"/>
  </w:num>
  <w:num w:numId="57">
    <w:abstractNumId w:val="138"/>
  </w:num>
  <w:num w:numId="72">
    <w:abstractNumId w:val="132"/>
  </w:num>
  <w:num w:numId="76">
    <w:abstractNumId w:val="126"/>
  </w:num>
  <w:num w:numId="108">
    <w:abstractNumId w:val="120"/>
  </w:num>
  <w:num w:numId="111">
    <w:abstractNumId w:val="114"/>
  </w:num>
  <w:num w:numId="144">
    <w:abstractNumId w:val="108"/>
  </w:num>
  <w:num w:numId="147">
    <w:abstractNumId w:val="102"/>
  </w:num>
  <w:num w:numId="169">
    <w:abstractNumId w:val="96"/>
  </w:num>
  <w:num w:numId="172">
    <w:abstractNumId w:val="90"/>
  </w:num>
  <w:num w:numId="206">
    <w:abstractNumId w:val="84"/>
  </w:num>
  <w:num w:numId="209">
    <w:abstractNumId w:val="78"/>
  </w:num>
  <w:num w:numId="213">
    <w:abstractNumId w:val="72"/>
  </w:num>
  <w:num w:numId="217">
    <w:abstractNumId w:val="66"/>
  </w:num>
  <w:num w:numId="221">
    <w:abstractNumId w:val="60"/>
  </w:num>
  <w:num w:numId="226">
    <w:abstractNumId w:val="54"/>
  </w:num>
  <w:num w:numId="232">
    <w:abstractNumId w:val="48"/>
  </w:num>
  <w:num w:numId="254">
    <w:abstractNumId w:val="42"/>
  </w:num>
  <w:num w:numId="258">
    <w:abstractNumId w:val="36"/>
  </w:num>
  <w:num w:numId="262">
    <w:abstractNumId w:val="30"/>
  </w:num>
  <w:num w:numId="265">
    <w:abstractNumId w:val="24"/>
  </w:num>
  <w:num w:numId="269">
    <w:abstractNumId w:val="18"/>
  </w:num>
  <w:num w:numId="273">
    <w:abstractNumId w:val="12"/>
  </w:num>
  <w:num w:numId="278">
    <w:abstractNumId w:val="6"/>
  </w:num>
  <w:num w:numId="28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13" Type="http://schemas.openxmlformats.org/officeDocument/2006/relationships/numbering" /><Relationship Target="media/image1.wmf" Id="docRId3" Type="http://schemas.openxmlformats.org/officeDocument/2006/relationships/image" /><Relationship TargetMode="External" Target="http://www.legislation.qld.gov.au/" Id="docRId7" Type="http://schemas.openxmlformats.org/officeDocument/2006/relationships/hyperlink" /><Relationship TargetMode="External" Target="http://www.safeworkaustralia.com.au/" Id="docRId10" Type="http://schemas.openxmlformats.org/officeDocument/2006/relationships/hyperlink" /><Relationship Target="styles.xml" Id="docRId14" Type="http://schemas.openxmlformats.org/officeDocument/2006/relationships/styles" /><Relationship Target="embeddings/oleObject1.bin" Id="docRId2" Type="http://schemas.openxmlformats.org/officeDocument/2006/relationships/oleObject" /><Relationship TargetMode="External" Target="http://www.legislation.qld.gov.au/" Id="docRId6" Type="http://schemas.openxmlformats.org/officeDocument/2006/relationships/hyperlink" /><Relationship Target="media/image0.wmf" Id="docRId1" Type="http://schemas.openxmlformats.org/officeDocument/2006/relationships/image" /><Relationship TargetMode="External" Target="http://www.safeworkaustralia.com.au/" Id="docRId11" Type="http://schemas.openxmlformats.org/officeDocument/2006/relationships/hyperlink" /><Relationship Target="media/image2.wmf" Id="docRId5" Type="http://schemas.openxmlformats.org/officeDocument/2006/relationships/image" /><Relationship TargetMode="External" Target="http://www.legislation.qld.gov.au/" Id="docRId9" Type="http://schemas.openxmlformats.org/officeDocument/2006/relationships/hyperlink" /><Relationship Target="embeddings/oleObject0.bin" Id="docRId0" Type="http://schemas.openxmlformats.org/officeDocument/2006/relationships/oleObject" /><Relationship TargetMode="External" Target="http://www.safeworkaustralia.com.au/" Id="docRId12" Type="http://schemas.openxmlformats.org/officeDocument/2006/relationships/hyperlink" /><Relationship Target="embeddings/oleObject2.bin" Id="docRId4" Type="http://schemas.openxmlformats.org/officeDocument/2006/relationships/oleObject" /><Relationship TargetMode="External" Target="http://www.legislation.qld.gov.au/" Id="docRId8" Type="http://schemas.openxmlformats.org/officeDocument/2006/relationships/hyperlink" /></Relationships>
</file>