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40"/>
        <w:ind w:right="0" w:left="0" w:firstLine="0"/>
        <w:jc w:val="left"/>
        <w:rPr>
          <w:rFonts w:ascii="Arial" w:hAnsi="Arial" w:cs="Arial" w:eastAsia="Arial"/>
          <w:color w:val="auto"/>
          <w:spacing w:val="0"/>
          <w:position w:val="0"/>
          <w:sz w:val="22"/>
          <w:shd w:fill="auto" w:val="clear"/>
        </w:rPr>
      </w:pPr>
      <w:r>
        <w:object w:dxaOrig="1014" w:dyaOrig="984">
          <v:rect xmlns:o="urn:schemas-microsoft-com:office:office" xmlns:v="urn:schemas-microsoft-com:vml" id="rectole0000000000" style="width:50.700000pt;height:49.2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object w:dxaOrig="10063" w:dyaOrig="6007">
          <v:rect xmlns:o="urn:schemas-microsoft-com:office:office" xmlns:v="urn:schemas-microsoft-com:vml" id="rectole0000000001" style="width:503.150000pt;height:300.3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r>
        <w:object w:dxaOrig="3204" w:dyaOrig="3188">
          <v:rect xmlns:o="urn:schemas-microsoft-com:office:office" xmlns:v="urn:schemas-microsoft-com:vml" id="rectole0000000002" style="width:160.200000pt;height:159.4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20"/>
          <w:shd w:fill="auto" w:val="clear"/>
        </w:rPr>
        <w:t xml:space="preserve">Copyright © 2015 CSTC Pty Ltd</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All rights reserved.  No part of the contents of this publication may be reproduced or used in any form or by any means – graphic, electronic, or mechanical including photocopying, digitizing, recording, or information storage-and-retrieval systems – without the written permission of CSTC Pty Ltd.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i/>
          <w:color w:val="auto"/>
          <w:spacing w:val="0"/>
          <w:position w:val="0"/>
          <w:sz w:val="20"/>
          <w:shd w:fill="auto" w:val="clear"/>
        </w:rPr>
      </w:pPr>
    </w:p>
    <w:p>
      <w:pPr>
        <w:spacing w:before="0" w:after="0" w:line="240"/>
        <w:ind w:right="0" w:left="0" w:firstLine="0"/>
        <w:jc w:val="center"/>
        <w:rPr>
          <w:rFonts w:ascii="Arial" w:hAnsi="Arial" w:cs="Arial" w:eastAsia="Arial"/>
          <w:i/>
          <w:color w:val="auto"/>
          <w:spacing w:val="0"/>
          <w:position w:val="0"/>
          <w:sz w:val="20"/>
          <w:shd w:fill="auto" w:val="clear"/>
        </w:rPr>
      </w:pPr>
      <w:r>
        <w:rPr>
          <w:rFonts w:ascii="Arial" w:hAnsi="Arial" w:cs="Arial" w:eastAsia="Arial"/>
          <w:i/>
          <w:color w:val="auto"/>
          <w:spacing w:val="0"/>
          <w:position w:val="0"/>
          <w:sz w:val="20"/>
          <w:shd w:fill="auto" w:val="clear"/>
        </w:rPr>
        <w:t xml:space="preserve">This learning product could only be made possible because of the dedicated CSTC team.</w:t>
      </w:r>
    </w:p>
    <w:p>
      <w:pPr>
        <w:spacing w:before="0" w:after="0" w:line="240"/>
        <w:ind w:right="0" w:left="0" w:firstLine="0"/>
        <w:jc w:val="center"/>
        <w:rPr>
          <w:rFonts w:ascii="Calibri" w:hAnsi="Calibri" w:cs="Calibri" w:eastAsia="Calibri"/>
          <w:b/>
          <w:color w:val="auto"/>
          <w:spacing w:val="0"/>
          <w:position w:val="0"/>
          <w:sz w:val="22"/>
          <w:shd w:fill="232F84" w:val="clear"/>
        </w:rPr>
      </w:pPr>
      <w:r>
        <w:rPr>
          <w:rFonts w:ascii="Calibri" w:hAnsi="Calibri" w:cs="Calibri" w:eastAsia="Calibri"/>
          <w:b/>
          <w:color w:val="auto"/>
          <w:spacing w:val="0"/>
          <w:position w:val="0"/>
          <w:sz w:val="22"/>
          <w:shd w:fill="232F84" w:val="clear"/>
        </w:rPr>
        <w:t xml:space="preserve">ASSESSMENT FOR BSBWHS410A</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085"/>
        <w:gridCol w:w="6150"/>
      </w:tblGrid>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Student name</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     Damian Wilson</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Date of assessment submission</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20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085"/>
        <w:gridCol w:w="6150"/>
      </w:tblGrid>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Trainer/Assessor’s name</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Date of assessment marking</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unit</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Competent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Yet Competent</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TASK INSTRUCTIONS</w:t>
      </w:r>
    </w:p>
    <w:p>
      <w:pPr>
        <w:spacing w:before="0" w:after="0" w:line="240"/>
        <w:ind w:right="0" w:left="0" w:firstLine="0"/>
        <w:jc w:val="left"/>
        <w:rPr>
          <w:rFonts w:ascii="Calibri" w:hAnsi="Calibri" w:cs="Calibri" w:eastAsia="Calibri"/>
          <w:color w:val="auto"/>
          <w:spacing w:val="0"/>
          <w:position w:val="0"/>
          <w:sz w:val="22"/>
          <w:shd w:fill="auto" w:val="clear"/>
        </w:rPr>
      </w:pPr>
    </w:p>
    <w:p>
      <w:pPr>
        <w:numPr>
          <w:ilvl w:val="0"/>
          <w:numId w:val="29"/>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assessment for this unit of competency consists of the following:</w:t>
      </w:r>
    </w:p>
    <w:p>
      <w:pPr>
        <w:numPr>
          <w:ilvl w:val="0"/>
          <w:numId w:val="29"/>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 series of activities:</w:t>
      </w:r>
      <w:r>
        <w:rPr>
          <w:rFonts w:ascii="Calibri" w:hAnsi="Calibri" w:cs="Calibri" w:eastAsia="Calibri"/>
          <w:color w:val="auto"/>
          <w:spacing w:val="0"/>
          <w:position w:val="0"/>
          <w:sz w:val="22"/>
          <w:shd w:fill="auto" w:val="clear"/>
        </w:rPr>
        <w:t xml:space="preserve"> Some of these activities will require you to provide a response within this document, others will require you to gather evidence to demonstrate your knowledge and skills (overview below)</w:t>
      </w:r>
    </w:p>
    <w:p>
      <w:pPr>
        <w:numPr>
          <w:ilvl w:val="0"/>
          <w:numId w:val="29"/>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Quiz: </w:t>
      </w:r>
      <w:r>
        <w:rPr>
          <w:rFonts w:ascii="Calibri" w:hAnsi="Calibri" w:cs="Calibri" w:eastAsia="Calibri"/>
          <w:color w:val="auto"/>
          <w:spacing w:val="0"/>
          <w:position w:val="0"/>
          <w:sz w:val="22"/>
          <w:shd w:fill="auto" w:val="clear"/>
        </w:rPr>
        <w:t xml:space="preserve">You will be required to complete a series of questions to demonstrate your knowledge and skills. </w:t>
      </w:r>
    </w:p>
    <w:p>
      <w:pPr>
        <w:numPr>
          <w:ilvl w:val="0"/>
          <w:numId w:val="29"/>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times, you will be provided with a specific business context to which you must respond, otherwise it is anticipated that you will use a workplace of your choosing (your own, or hypothetical) to provide the context to the task.</w:t>
      </w:r>
    </w:p>
    <w:p>
      <w:pPr>
        <w:numPr>
          <w:ilvl w:val="0"/>
          <w:numId w:val="29"/>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all times, the responses in your assessment must reference </w:t>
      </w:r>
      <w:r>
        <w:rPr>
          <w:rFonts w:ascii="Calibri" w:hAnsi="Calibri" w:cs="Calibri" w:eastAsia="Calibri"/>
          <w:b/>
          <w:color w:val="auto"/>
          <w:spacing w:val="0"/>
          <w:position w:val="0"/>
          <w:sz w:val="22"/>
          <w:shd w:fill="auto" w:val="clear"/>
        </w:rPr>
        <w:t xml:space="preserve">Australian </w:t>
      </w:r>
      <w:r>
        <w:rPr>
          <w:rFonts w:ascii="Calibri" w:hAnsi="Calibri" w:cs="Calibri" w:eastAsia="Calibri"/>
          <w:color w:val="auto"/>
          <w:spacing w:val="0"/>
          <w:position w:val="0"/>
          <w:sz w:val="22"/>
          <w:shd w:fill="auto" w:val="clear"/>
        </w:rPr>
        <w:t xml:space="preserve">(Queensland or Federal) documentation, including legislation, regulations, codes of practice, standards and guidance publications.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508"/>
        <w:gridCol w:w="4741"/>
      </w:tblGrid>
      <w:tr>
        <w:trPr>
          <w:trHeight w:val="1" w:hRule="atLeast"/>
          <w:jc w:val="left"/>
        </w:trPr>
        <w:tc>
          <w:tcPr>
            <w:tcW w:w="4508"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ACTIVITY OVERVIEW</w:t>
            </w:r>
          </w:p>
        </w:tc>
        <w:tc>
          <w:tcPr>
            <w:tcW w:w="4741"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REQUIRED FOR SUBMISSION</w:t>
            </w:r>
          </w:p>
        </w:tc>
      </w:tr>
      <w:tr>
        <w:trPr>
          <w:trHeight w:val="102"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7"/>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Legislative and voluntary measures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7"/>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70"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7"/>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Consultation</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7"/>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70"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7"/>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Establishing measures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7"/>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273"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7"/>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Ensuring compliance</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7"/>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r>
        <w:trPr>
          <w:trHeight w:val="273"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7"/>
              </w:numPr>
              <w:spacing w:before="0" w:after="0" w:line="240"/>
              <w:ind w:right="0" w:left="426" w:hanging="36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Reviewing and evaluating measures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7"/>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Workbook response (below)</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ACTIVITIES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following activities, name a workplace that you wish to examine.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292"/>
        <w:gridCol w:w="6943"/>
      </w:tblGrid>
      <w:tr>
        <w:trPr>
          <w:trHeight w:val="1" w:hRule="atLeast"/>
          <w:jc w:val="left"/>
        </w:trPr>
        <w:tc>
          <w:tcPr>
            <w:tcW w:w="22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Name of workplace</w:t>
            </w:r>
          </w:p>
        </w:tc>
        <w:tc>
          <w:tcPr>
            <w:tcW w:w="69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     QUT Site Fredon Electricians</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62"/>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62"/>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and describe one (1) chemical hazard and one (1) physical hazard that workers may be exposed to.</w:t>
            </w:r>
          </w:p>
          <w:p>
            <w:pPr>
              <w:numPr>
                <w:ilvl w:val="0"/>
                <w:numId w:val="62"/>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(1) relevant exposure standard that should be referred to when examining the results of chemical hazard monitoring</w:t>
            </w:r>
          </w:p>
          <w:p>
            <w:pPr>
              <w:numPr>
                <w:ilvl w:val="0"/>
                <w:numId w:val="62"/>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one (1) relevant exposure standard that should be referred to when examining the results of physical hazard monitoring</w:t>
            </w:r>
          </w:p>
          <w:p>
            <w:pPr>
              <w:numPr>
                <w:ilvl w:val="0"/>
                <w:numId w:val="62"/>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Research, name and describe one (1) health monitoring measure for workers exposed to the dangerous chemical identified in (a).</w:t>
            </w:r>
          </w:p>
          <w:p>
            <w:pPr>
              <w:numPr>
                <w:ilvl w:val="0"/>
                <w:numId w:val="62"/>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health monitoring measure must involve biological monitoring </w:t>
            </w:r>
          </w:p>
          <w:p>
            <w:pPr>
              <w:numPr>
                <w:ilvl w:val="0"/>
                <w:numId w:val="62"/>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health monitoring measure must meet requirements for health monitoring under the </w:t>
            </w:r>
            <w:r>
              <w:rPr>
                <w:rFonts w:ascii="Calibri" w:hAnsi="Calibri" w:cs="Calibri" w:eastAsia="Calibri"/>
                <w:i/>
                <w:color w:val="auto"/>
                <w:spacing w:val="0"/>
                <w:position w:val="0"/>
                <w:sz w:val="22"/>
                <w:shd w:fill="auto" w:val="clear"/>
              </w:rPr>
              <w:t xml:space="preserve">Work Health and Safety Regulation 2011 </w:t>
            </w:r>
            <w:r>
              <w:rPr>
                <w:rFonts w:ascii="Calibri" w:hAnsi="Calibri" w:cs="Calibri" w:eastAsia="Calibri"/>
                <w:color w:val="auto"/>
                <w:spacing w:val="0"/>
                <w:position w:val="0"/>
                <w:sz w:val="22"/>
                <w:shd w:fill="auto" w:val="clear"/>
              </w:rPr>
              <w:t xml:space="preserve">(Qld)</w:t>
            </w:r>
          </w:p>
          <w:p>
            <w:pPr>
              <w:numPr>
                <w:ilvl w:val="0"/>
                <w:numId w:val="62"/>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Summarise its benefits and how it addresses the chemical hazard effectively</w:t>
            </w:r>
          </w:p>
          <w:p>
            <w:pPr>
              <w:numPr>
                <w:ilvl w:val="0"/>
                <w:numId w:val="62"/>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Research, name and describe one (1) general health promotion initiative/program</w:t>
            </w:r>
          </w:p>
          <w:p>
            <w:pPr>
              <w:numPr>
                <w:ilvl w:val="0"/>
                <w:numId w:val="62"/>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Summarise its benefits and how it addresses worker health and safety effectively</w:t>
            </w:r>
          </w:p>
          <w:p>
            <w:pPr>
              <w:numPr>
                <w:ilvl w:val="0"/>
                <w:numId w:val="62"/>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the differences between these measures and initiatives.</w:t>
            </w:r>
          </w:p>
          <w:p>
            <w:pPr>
              <w:numPr>
                <w:ilvl w:val="0"/>
                <w:numId w:val="62"/>
              </w:numPr>
              <w:spacing w:before="0" w:after="0" w:line="240"/>
              <w:ind w:right="0" w:left="426"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who would be interested in receiving this information</w:t>
            </w:r>
          </w:p>
          <w:p>
            <w:pPr>
              <w:numPr>
                <w:ilvl w:val="0"/>
                <w:numId w:val="62"/>
              </w:numPr>
              <w:spacing w:before="0" w:after="0" w:line="240"/>
              <w:ind w:right="0" w:left="851"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would you communicate such findings to them and it what timeframe?</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21"/>
        <w:gridCol w:w="4414"/>
        <w:gridCol w:w="4414"/>
      </w:tblGrid>
      <w:tr>
        <w:trPr>
          <w:trHeight w:val="1" w:hRule="atLeast"/>
          <w:jc w:val="left"/>
        </w:trPr>
        <w:tc>
          <w:tcPr>
            <w:tcW w:w="421" w:type="dxa"/>
            <w:vMerge w:val="restart"/>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w:t>
            </w:r>
          </w:p>
        </w:tc>
        <w:tc>
          <w:tcPr>
            <w:tcW w:w="441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Chemical hazard and exposure standard</w:t>
            </w:r>
          </w:p>
        </w:tc>
        <w:tc>
          <w:tcPr>
            <w:tcW w:w="441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Physical hazard and exposure standard</w:t>
            </w:r>
          </w:p>
        </w:tc>
      </w:tr>
      <w:tr>
        <w:trPr>
          <w:trHeight w:val="1417" w:hRule="auto"/>
          <w:jc w:val="left"/>
        </w:trPr>
        <w:tc>
          <w:tcPr>
            <w:tcW w:w="421" w:type="dxa"/>
            <w:vMerge/>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200" w:line="240"/>
              <w:ind w:right="0" w:left="0" w:firstLine="0"/>
              <w:jc w:val="left"/>
              <w:rPr>
                <w:rFonts w:ascii="Calibri" w:hAnsi="Calibri" w:cs="Calibri" w:eastAsia="Calibri"/>
                <w:color w:val="auto"/>
                <w:spacing w:val="0"/>
                <w:position w:val="0"/>
                <w:sz w:val="22"/>
                <w:shd w:fill="auto" w:val="clear"/>
              </w:rPr>
            </w:pPr>
          </w:p>
        </w:tc>
        <w:tc>
          <w:tcPr>
            <w:tcW w:w="441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 Carbon Monoxide when working in pits.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GHS Hazardous Chemical Information List.</w:t>
            </w:r>
          </w:p>
          <w:p>
            <w:pPr>
              <w:spacing w:before="0" w:after="0" w:line="240"/>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6">
              <w:r>
                <w:rPr>
                  <w:rFonts w:ascii="Calibri" w:hAnsi="Calibri" w:cs="Calibri" w:eastAsia="Calibri"/>
                  <w:color w:val="0000FF"/>
                  <w:spacing w:val="0"/>
                  <w:position w:val="0"/>
                  <w:sz w:val="22"/>
                  <w:u w:val="single"/>
                  <w:shd w:fill="auto" w:val="clear"/>
                </w:rPr>
                <w:t xml:space="preserve">www.safeworkaustralia.gov.au</w:t>
              </w:r>
            </w:hyperlink>
            <w:r>
              <w:rPr>
                <w:rFonts w:ascii="Calibri" w:hAnsi="Calibri" w:cs="Calibri" w:eastAsia="Calibri"/>
                <w:color w:val="auto"/>
                <w:spacing w:val="0"/>
                <w:position w:val="0"/>
                <w:sz w:val="22"/>
                <w:shd w:fill="auto" w:val="clear"/>
              </w:rPr>
              <w:t xml:space="preserve">    </w:t>
            </w:r>
          </w:p>
        </w:tc>
        <w:tc>
          <w:tcPr>
            <w:tcW w:w="441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 Asbestos in Heritage Buildings.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Regulations 2011.</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Legeslative Instrument 2011 no-262</w:t>
            </w:r>
          </w:p>
          <w:p>
            <w:pPr>
              <w:spacing w:before="0" w:after="0" w:line="240"/>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7">
              <w:r>
                <w:rPr>
                  <w:rFonts w:ascii="Calibri" w:hAnsi="Calibri" w:cs="Calibri" w:eastAsia="Calibri"/>
                  <w:color w:val="0000FF"/>
                  <w:spacing w:val="0"/>
                  <w:position w:val="0"/>
                  <w:sz w:val="22"/>
                  <w:u w:val="single"/>
                  <w:shd w:fill="auto" w:val="clear"/>
                </w:rPr>
                <w:t xml:space="preserve">www.comlaw.gov.au</w:t>
              </w:r>
            </w:hyperlink>
            <w:r>
              <w:rPr>
                <w:rFonts w:ascii="Calibri" w:hAnsi="Calibri" w:cs="Calibri" w:eastAsia="Calibri"/>
                <w:color w:val="auto"/>
                <w:spacing w:val="0"/>
                <w:position w:val="0"/>
                <w:sz w:val="22"/>
                <w:shd w:fill="auto" w:val="clear"/>
              </w:rPr>
              <w:t xml:space="preserve">     </w:t>
            </w:r>
          </w:p>
        </w:tc>
      </w:tr>
      <w:tr>
        <w:trPr>
          <w:trHeight w:val="1" w:hRule="atLeast"/>
          <w:jc w:val="left"/>
        </w:trPr>
        <w:tc>
          <w:tcPr>
            <w:tcW w:w="421" w:type="dxa"/>
            <w:vMerge w:val="restart"/>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441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Name and describe health measure</w:t>
            </w:r>
          </w:p>
        </w:tc>
        <w:tc>
          <w:tcPr>
            <w:tcW w:w="441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Source(s) of information</w:t>
            </w:r>
          </w:p>
        </w:tc>
      </w:tr>
      <w:tr>
        <w:trPr>
          <w:trHeight w:val="1417" w:hRule="auto"/>
          <w:jc w:val="left"/>
        </w:trPr>
        <w:tc>
          <w:tcPr>
            <w:tcW w:w="421" w:type="dxa"/>
            <w:vMerge/>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200" w:line="240"/>
              <w:ind w:right="0" w:left="0" w:firstLine="0"/>
              <w:jc w:val="left"/>
              <w:rPr>
                <w:rFonts w:ascii="Calibri" w:hAnsi="Calibri" w:cs="Calibri" w:eastAsia="Calibri"/>
                <w:color w:val="auto"/>
                <w:spacing w:val="0"/>
                <w:position w:val="0"/>
                <w:sz w:val="22"/>
                <w:shd w:fill="auto" w:val="clear"/>
              </w:rPr>
            </w:pPr>
          </w:p>
        </w:tc>
        <w:tc>
          <w:tcPr>
            <w:tcW w:w="44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Wear personal monitoring equipment when working in pits and ensure good airflow is maintained. Install extraction fans where possible to maintain clean air flow.     </w:t>
            </w:r>
          </w:p>
        </w:tc>
        <w:tc>
          <w:tcPr>
            <w:tcW w:w="44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Safe Work Australia - Guidance Interpretation Workplace Exposure Standards Airborne Contaminants.</w:t>
            </w:r>
          </w:p>
          <w:p>
            <w:pPr>
              <w:spacing w:before="0" w:after="0" w:line="240"/>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8">
              <w:r>
                <w:rPr>
                  <w:rFonts w:ascii="Calibri" w:hAnsi="Calibri" w:cs="Calibri" w:eastAsia="Calibri"/>
                  <w:color w:val="0000FF"/>
                  <w:spacing w:val="0"/>
                  <w:position w:val="0"/>
                  <w:sz w:val="22"/>
                  <w:u w:val="single"/>
                  <w:shd w:fill="auto" w:val="clear"/>
                </w:rPr>
                <w:t xml:space="preserve">www.safeworkaustralia.gov.au</w:t>
              </w:r>
            </w:hyperlink>
            <w:r>
              <w:rPr>
                <w:rFonts w:ascii="Calibri" w:hAnsi="Calibri" w:cs="Calibri" w:eastAsia="Calibri"/>
                <w:color w:val="auto"/>
                <w:spacing w:val="0"/>
                <w:position w:val="0"/>
                <w:sz w:val="22"/>
                <w:shd w:fill="auto" w:val="clear"/>
              </w:rPr>
              <w:t xml:space="preserve">     </w:t>
            </w:r>
          </w:p>
        </w:tc>
      </w:tr>
      <w:tr>
        <w:trPr>
          <w:trHeight w:val="85" w:hRule="auto"/>
          <w:jc w:val="left"/>
        </w:trPr>
        <w:tc>
          <w:tcPr>
            <w:tcW w:w="421" w:type="dxa"/>
            <w:vMerge w:val="restart"/>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w:t>
            </w:r>
          </w:p>
        </w:tc>
        <w:tc>
          <w:tcPr>
            <w:tcW w:w="441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Name and describe health initiative</w:t>
            </w:r>
          </w:p>
        </w:tc>
        <w:tc>
          <w:tcPr>
            <w:tcW w:w="441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Source(s) of information</w:t>
            </w:r>
          </w:p>
        </w:tc>
      </w:tr>
      <w:tr>
        <w:trPr>
          <w:trHeight w:val="1417" w:hRule="auto"/>
          <w:jc w:val="left"/>
        </w:trPr>
        <w:tc>
          <w:tcPr>
            <w:tcW w:w="421" w:type="dxa"/>
            <w:vMerge/>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200" w:line="240"/>
              <w:ind w:right="0" w:left="0" w:firstLine="0"/>
              <w:jc w:val="left"/>
              <w:rPr>
                <w:rFonts w:ascii="Calibri" w:hAnsi="Calibri" w:cs="Calibri" w:eastAsia="Calibri"/>
                <w:color w:val="auto"/>
                <w:spacing w:val="0"/>
                <w:position w:val="0"/>
                <w:sz w:val="22"/>
                <w:shd w:fill="auto" w:val="clear"/>
              </w:rPr>
            </w:pPr>
          </w:p>
        </w:tc>
        <w:tc>
          <w:tcPr>
            <w:tcW w:w="44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Fitness Programs, Health Products or services.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Provide training to workers on the properties of the gas, the risks and also safety precautions.     </w:t>
            </w:r>
          </w:p>
        </w:tc>
        <w:tc>
          <w:tcPr>
            <w:tcW w:w="441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hyperlink xmlns:r="http://schemas.openxmlformats.org/officeDocument/2006/relationships" r:id="docRId9">
              <w:r>
                <w:rPr>
                  <w:rFonts w:ascii="Calibri" w:hAnsi="Calibri" w:cs="Calibri" w:eastAsia="Calibri"/>
                  <w:color w:val="0000FF"/>
                  <w:spacing w:val="0"/>
                  <w:position w:val="0"/>
                  <w:sz w:val="22"/>
                  <w:u w:val="single"/>
                  <w:shd w:fill="auto" w:val="clear"/>
                </w:rPr>
                <w:t xml:space="preserve">www.hsis.safeworkaustralia.gov.au</w:t>
              </w:r>
            </w:hyperlink>
            <w:r>
              <w:rPr>
                <w:rFonts w:ascii="Calibri" w:hAnsi="Calibri" w:cs="Calibri" w:eastAsia="Calibri"/>
                <w:color w:val="auto"/>
                <w:spacing w:val="0"/>
                <w:position w:val="0"/>
                <w:sz w:val="22"/>
                <w:shd w:fill="auto" w:val="clear"/>
              </w:rPr>
              <w:t xml:space="preserve">     </w:t>
            </w:r>
          </w:p>
        </w:tc>
      </w:tr>
      <w:tr>
        <w:trPr>
          <w:trHeight w:val="1417"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w:t>
            </w:r>
          </w:p>
        </w:tc>
        <w:tc>
          <w:tcPr>
            <w:tcW w:w="8828"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measure is something that is put into place at the time of the work to monitor the exposure.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 initiative is done prior to the event and aims to educate the workers on the correct procedures etc before getting to the workface.     </w:t>
            </w:r>
          </w:p>
        </w:tc>
      </w:tr>
      <w:tr>
        <w:trPr>
          <w:trHeight w:val="1417" w:hRule="auto"/>
          <w:jc w:val="left"/>
        </w:trPr>
        <w:tc>
          <w:tcPr>
            <w:tcW w:w="42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w:t>
            </w:r>
          </w:p>
        </w:tc>
        <w:tc>
          <w:tcPr>
            <w:tcW w:w="8828"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PCBU's, Supervisors and Managers along with their workers would be interested in receiving the information. The information would be communicated by company Supervisors, safety personnel or committees etc. This information would need to be communicated well prior to the need for the work to take place.     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1</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11"/>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each of the following matters, identify two (2) individuals and/or parties who you would consult with and why you would consult with them:</w:t>
            </w:r>
          </w:p>
          <w:p>
            <w:pPr>
              <w:numPr>
                <w:ilvl w:val="0"/>
                <w:numId w:val="115"/>
              </w:numPr>
              <w:spacing w:before="0" w:after="0" w:line="240"/>
              <w:ind w:right="0" w:left="720"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To assist with identifying and evaluating factors impacting on work-related health and safety</w:t>
            </w:r>
          </w:p>
          <w:p>
            <w:pPr>
              <w:numPr>
                <w:ilvl w:val="0"/>
                <w:numId w:val="115"/>
              </w:numPr>
              <w:spacing w:before="0" w:after="0" w:line="240"/>
              <w:ind w:right="0" w:left="720"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To assist with determining appropriate measures and initiatives to address factors impacting on work-related health and safety</w:t>
            </w:r>
          </w:p>
          <w:p>
            <w:pPr>
              <w:numPr>
                <w:ilvl w:val="0"/>
                <w:numId w:val="115"/>
              </w:numPr>
              <w:spacing w:before="0" w:after="0" w:line="240"/>
              <w:ind w:right="0" w:left="720" w:hanging="360"/>
              <w:jc w:val="left"/>
              <w:rPr>
                <w:rFonts w:ascii="Calibri" w:hAnsi="Calibri" w:cs="Calibri" w:eastAsia="Calibri"/>
                <w:spacing w:val="0"/>
                <w:position w:val="0"/>
                <w:sz w:val="22"/>
                <w:shd w:fill="auto" w:val="clear"/>
              </w:rPr>
            </w:pPr>
            <w:r>
              <w:rPr>
                <w:rFonts w:ascii="Calibri" w:hAnsi="Calibri" w:cs="Calibri" w:eastAsia="Calibri"/>
                <w:color w:val="auto"/>
                <w:spacing w:val="0"/>
                <w:position w:val="0"/>
                <w:sz w:val="22"/>
                <w:shd w:fill="auto" w:val="clear"/>
              </w:rPr>
              <w:t xml:space="preserve">To assist with designing measures and initiatives that either meet specific legislative requirements and obligations or support voluntary health promotion programs.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03"/>
        <w:gridCol w:w="4423"/>
        <w:gridCol w:w="4423"/>
      </w:tblGrid>
      <w:tr>
        <w:trPr>
          <w:trHeight w:val="1" w:hRule="atLeast"/>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42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Identify two (2) individuals and parties</w:t>
            </w:r>
          </w:p>
        </w:tc>
        <w:tc>
          <w:tcPr>
            <w:tcW w:w="442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Why you would consult with them</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 </w:t>
            </w:r>
          </w:p>
        </w:tc>
        <w:tc>
          <w:tcPr>
            <w:tcW w:w="44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Workers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Health and Safety Committee     </w:t>
            </w:r>
          </w:p>
        </w:tc>
        <w:tc>
          <w:tcPr>
            <w:tcW w:w="44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identify what exact issues effect the workers, work related Health and Safety day in day out. They are the best only people who can give you the issues that effect them.     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44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Medical/Health Experts/Advisors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PCBU     </w:t>
            </w:r>
          </w:p>
        </w:tc>
        <w:tc>
          <w:tcPr>
            <w:tcW w:w="44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help by supplying up to date professional data and ideas about initiatives that could be offered to workers.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PCBU to see what ideas are within their scope and budget to offer to workers and also what they feel could be benificial to the productivity and well being of their workers therefore improving their business .     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w:t>
            </w:r>
          </w:p>
        </w:tc>
        <w:tc>
          <w:tcPr>
            <w:tcW w:w="44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Medical Experts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Unions/Workers Representatives     </w:t>
            </w:r>
          </w:p>
        </w:tc>
        <w:tc>
          <w:tcPr>
            <w:tcW w:w="44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seek up to date and accurate guidance on the correct programs and procedures to offer to improve the health and safety of workers.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Unions to ensure that the programs etc that are offered are approved to be implemented by the associated unions etc.     </w:t>
            </w:r>
          </w:p>
        </w:tc>
      </w:tr>
    </w:tbl>
    <w:p>
      <w:pPr>
        <w:spacing w:before="0" w:after="0" w:line="240"/>
        <w:ind w:right="0" w:left="36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2</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41"/>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assist with the planning and development of the health monitoring measure you identified in Activity 1(b):</w:t>
            </w:r>
          </w:p>
          <w:p>
            <w:pPr>
              <w:numPr>
                <w:ilvl w:val="0"/>
                <w:numId w:val="145"/>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resourcing requirements</w:t>
            </w:r>
          </w:p>
          <w:p>
            <w:pPr>
              <w:numPr>
                <w:ilvl w:val="0"/>
                <w:numId w:val="145"/>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Outline the involved cost and how it should be implemented in the workplace</w:t>
            </w:r>
          </w:p>
          <w:p>
            <w:pPr>
              <w:numPr>
                <w:ilvl w:val="0"/>
                <w:numId w:val="145"/>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would you be involved in organising the resources?</w:t>
            </w:r>
          </w:p>
          <w:p>
            <w:pPr>
              <w:numPr>
                <w:ilvl w:val="0"/>
                <w:numId w:val="145"/>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timelines for implementation</w:t>
            </w:r>
          </w:p>
          <w:p>
            <w:pPr>
              <w:numPr>
                <w:ilvl w:val="0"/>
                <w:numId w:val="145"/>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might you assist with timetabling?</w:t>
            </w:r>
          </w:p>
          <w:p>
            <w:pPr>
              <w:numPr>
                <w:ilvl w:val="0"/>
                <w:numId w:val="145"/>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parties who would be involved and their responsibilities</w:t>
            </w:r>
          </w:p>
          <w:p>
            <w:pPr>
              <w:numPr>
                <w:ilvl w:val="0"/>
                <w:numId w:val="145"/>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would you liaise with and coordinate parties?</w:t>
            </w:r>
          </w:p>
          <w:p>
            <w:pPr>
              <w:numPr>
                <w:ilvl w:val="0"/>
                <w:numId w:val="145"/>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what ways would you provide communication about the measure?</w:t>
            </w:r>
          </w:p>
          <w:p>
            <w:pPr>
              <w:numPr>
                <w:ilvl w:val="0"/>
                <w:numId w:val="145"/>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would you need to seek permission from according to workplace policies, procedures and processes (or under the Work Health Management System)?</w:t>
            </w:r>
          </w:p>
          <w:p>
            <w:pPr>
              <w:numPr>
                <w:ilvl w:val="0"/>
                <w:numId w:val="145"/>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what timeframes would you communicate this information?</w:t>
            </w:r>
          </w:p>
        </w:tc>
      </w:tr>
    </w:tbl>
    <w:p>
      <w:pPr>
        <w:spacing w:before="0" w:after="0" w:line="240"/>
        <w:ind w:right="0" w:left="0" w:firstLine="0"/>
        <w:jc w:val="left"/>
        <w:rPr>
          <w:rFonts w:ascii="Calibri" w:hAnsi="Calibri" w:cs="Calibri" w:eastAsia="Calibri"/>
          <w:color w:val="auto"/>
          <w:spacing w:val="0"/>
          <w:position w:val="0"/>
          <w:sz w:val="22"/>
          <w:shd w:fill="FFFFFF" w:val="clear"/>
        </w:rPr>
      </w:pPr>
    </w:p>
    <w:tbl>
      <w:tblPr/>
      <w:tblGrid>
        <w:gridCol w:w="403"/>
        <w:gridCol w:w="8832"/>
      </w:tblGrid>
      <w:tr>
        <w:trPr>
          <w:trHeight w:val="1" w:hRule="atLeast"/>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83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Response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 </w:t>
            </w:r>
          </w:p>
        </w:tc>
        <w:tc>
          <w:tcPr>
            <w:tcW w:w="88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Hire a confined space kit from Kennards Lift and Shift. This kit includes a tripod and winch, harness' and gas detector. The cost of the kit is $350.00 per day. My role is to organise the equipment, purchase order and pick up the equipment or arrange delivery.     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88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Contact the hire company and enquire as to the dates that the equipment is available for hire. Arrange dates that are suitable for the work to be done. Ensure that the workers have been put through the required training prior to the work taking place. Ensure that all permits are approved prior to the scheduled work dates.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w:t>
            </w:r>
          </w:p>
        </w:tc>
        <w:tc>
          <w:tcPr>
            <w:tcW w:w="88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hire company is to ensure that all of the gear that they provide is within calibration date , tested and appropriate for the work at hand.</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would need to organise the correct equipment for the task, at the correct times and arrange the payment and delivery.</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Workers are to use the equipment in the correct manner as they have been trained to do.</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would email the hire company and give work orders to the workers.     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d)</w:t>
            </w:r>
          </w:p>
        </w:tc>
        <w:tc>
          <w:tcPr>
            <w:tcW w:w="88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Inform the workers that they will need to implement the equipment to complete the work safely and to adhere to company procedures. Would need to produce and submit permits to the PCBU for the work to be approved to proceed. This would need to be done well in advance of the work taking place to allow for lead times and to ensure that all stakeholders are informed and all nessasary measures are in place.     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3</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76"/>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following points, identify and outline the following legislative obligations and explain how they will be addressed for the health monitoring measure described in Activity 3:</w:t>
            </w:r>
          </w:p>
          <w:p>
            <w:pPr>
              <w:numPr>
                <w:ilvl w:val="0"/>
                <w:numId w:val="180"/>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Required consultation and participation with individuals and parties about all aspects of the health monitoring measure</w:t>
            </w:r>
          </w:p>
          <w:p>
            <w:pPr>
              <w:numPr>
                <w:ilvl w:val="0"/>
                <w:numId w:val="180"/>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Requirements under the legislative regulations with respect to health monitoring reporting</w:t>
            </w:r>
          </w:p>
          <w:p>
            <w:pPr>
              <w:numPr>
                <w:ilvl w:val="0"/>
                <w:numId w:val="180"/>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Requirements under legislative regulations with respect to the confidentiality of health monitoring results</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03"/>
        <w:gridCol w:w="2124"/>
        <w:gridCol w:w="3357"/>
        <w:gridCol w:w="3358"/>
      </w:tblGrid>
      <w:tr>
        <w:trPr>
          <w:trHeight w:val="1" w:hRule="atLeast"/>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12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Legislation name and relevant section</w:t>
            </w:r>
          </w:p>
        </w:tc>
        <w:tc>
          <w:tcPr>
            <w:tcW w:w="335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Obligations</w:t>
            </w:r>
          </w:p>
        </w:tc>
        <w:tc>
          <w:tcPr>
            <w:tcW w:w="335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Implementation</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w:t>
            </w:r>
          </w:p>
        </w:tc>
        <w:tc>
          <w:tcPr>
            <w:tcW w:w="2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Workplace Health and Safety Act QLD 2011 Part 5</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Consultation Representation and Participation     </w:t>
            </w:r>
          </w:p>
        </w:tc>
        <w:tc>
          <w:tcPr>
            <w:tcW w:w="335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PCBU must so far as reasonably practicable, Consult as required under this division and any regulation , with workers who carry out work for the PCBU who are likely to be , directly affected by a matter relating to work health and safety.     </w:t>
            </w:r>
          </w:p>
        </w:tc>
        <w:tc>
          <w:tcPr>
            <w:tcW w:w="3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Toolbox measure with the workers, hand out fact sheets. Ask the workers for their input and any ideas on problems or things that they believe could be added to the measure.     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2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Legislation 2011 Division 7 Managing Risks from Airborne Contaminants     </w:t>
            </w:r>
          </w:p>
        </w:tc>
        <w:tc>
          <w:tcPr>
            <w:tcW w:w="335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Results of monitoring must be recorded and kept for 30 years after the date that the record is made. It must be easily accessable to persons at the workplace who may be exposed to the substance or mixture.      </w:t>
            </w:r>
          </w:p>
        </w:tc>
        <w:tc>
          <w:tcPr>
            <w:tcW w:w="3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Ensure that the workers involved in the work fill out the correct sections of the permit with the levels at all times. Scan a copy of this and send a copy to the PCBU to be filed. Keep a copy on site and notify all workers where it is and where it can be found for reference if required.     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w:t>
            </w:r>
          </w:p>
        </w:tc>
        <w:tc>
          <w:tcPr>
            <w:tcW w:w="21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WHS Legislation 2011 Division 6 Health Monitoring     </w:t>
            </w:r>
          </w:p>
        </w:tc>
        <w:tc>
          <w:tcPr>
            <w:tcW w:w="335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PCBU must ensure that health monitoring reports in relation to a worker carrying out work for the business or undertaking are kept as a confidential record. and are identified as a record in relation to the worker, for at least 30 years after the record is made.     </w:t>
            </w:r>
          </w:p>
        </w:tc>
        <w:tc>
          <w:tcPr>
            <w:tcW w:w="33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Ensure that reports are handed  over to management for confidential records and that they are kept for the required time and identified correctly under the company management system.     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4</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206"/>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how you would engage in the following review and evaluation tasks regarding the health monitoring measure described in Activity 3:</w:t>
            </w:r>
          </w:p>
          <w:p>
            <w:pPr>
              <w:numPr>
                <w:ilvl w:val="0"/>
                <w:numId w:val="210"/>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Identify methods you would use to review and evaluate the measure</w:t>
            </w:r>
          </w:p>
          <w:p>
            <w:pPr>
              <w:numPr>
                <w:ilvl w:val="0"/>
                <w:numId w:val="210"/>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would you be involved in the review process?</w:t>
            </w:r>
          </w:p>
          <w:p>
            <w:pPr>
              <w:numPr>
                <w:ilvl w:val="0"/>
                <w:numId w:val="210"/>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how you might assist with preparing reports (and communicating) about the outcomes of your review</w:t>
            </w:r>
          </w:p>
          <w:p>
            <w:pPr>
              <w:numPr>
                <w:ilvl w:val="0"/>
                <w:numId w:val="210"/>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would be the purpose of the report?</w:t>
            </w:r>
          </w:p>
          <w:p>
            <w:pPr>
              <w:numPr>
                <w:ilvl w:val="0"/>
                <w:numId w:val="210"/>
              </w:numPr>
              <w:spacing w:before="0" w:after="0" w:line="240"/>
              <w:ind w:right="0" w:left="1134"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would be included in the target audience? </w:t>
            </w:r>
          </w:p>
        </w:tc>
      </w:tr>
    </w:tbl>
    <w:p>
      <w:pPr>
        <w:spacing w:before="0" w:after="0" w:line="240"/>
        <w:ind w:right="0" w:left="0" w:firstLine="0"/>
        <w:jc w:val="left"/>
        <w:rPr>
          <w:rFonts w:ascii="Calibri" w:hAnsi="Calibri" w:cs="Calibri" w:eastAsia="Calibri"/>
          <w:color w:val="auto"/>
          <w:spacing w:val="0"/>
          <w:position w:val="0"/>
          <w:sz w:val="22"/>
          <w:shd w:fill="FFFFFF" w:val="clear"/>
        </w:rPr>
      </w:pPr>
    </w:p>
    <w:tbl>
      <w:tblPr/>
      <w:tblGrid>
        <w:gridCol w:w="403"/>
        <w:gridCol w:w="8832"/>
      </w:tblGrid>
      <w:tr>
        <w:trPr>
          <w:trHeight w:val="1" w:hRule="atLeast"/>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83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Response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 </w:t>
            </w:r>
          </w:p>
        </w:tc>
        <w:tc>
          <w:tcPr>
            <w:tcW w:w="88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Monitor the health and safety of the workers. Compare the results against historical data and industry standards.</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would compare the findings against that of the previous work undertaken within the company and ask for input from experts in the field.     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w:t>
            </w:r>
          </w:p>
        </w:tc>
        <w:tc>
          <w:tcPr>
            <w:tcW w:w="883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purpose of the report would be to ensure the highest level of protections and precautions are provided to the workers involved.</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target audience for the report would be management , the workers involved and the PCBU.</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Activity 5</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QUIZ</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8180"/>
        <w:gridCol w:w="1062"/>
      </w:tblGrid>
      <w:tr>
        <w:trPr>
          <w:trHeight w:val="1" w:hRule="atLeast"/>
          <w:jc w:val="left"/>
        </w:trPr>
        <w:tc>
          <w:tcPr>
            <w:tcW w:w="8180"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QUESTIONS</w:t>
            </w:r>
          </w:p>
        </w:tc>
        <w:tc>
          <w:tcPr>
            <w:tcW w:w="106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CORRECT</w:t>
            </w: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38"/>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Which of the following factors may impact on work-related health and safety? </w:t>
              <w:br/>
              <w:t xml:space="preserve">Select all that apply.   </w:t>
              <w:br/>
              <w:tab/>
              <w:t xml:space="preserve"> x</w:t>
              <w:tab/>
              <w:t xml:space="preserve">Non-work related health and safety problems </w:t>
              <w:br/>
              <w:tab/>
              <w:t xml:space="preserve"> x</w:t>
              <w:tab/>
              <w:t xml:space="preserve">Legislative requirements and obligations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x</w:t>
              <w:tab/>
              <w:t xml:space="preserve">Lifestyle factors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x</w:t>
              <w:tab/>
              <w:t xml:space="preserve">Psychosocial factors (e.g. stress, bullying, fatigue)</w:t>
              <w:br/>
              <w:tab/>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42"/>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Development and planning of work-related health and safety measures and initiatives may require you to consult with which of the following? </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Select all that apply.</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x</w:t>
              <w:tab/>
              <w:t xml:space="preserve">Health and wellbeing specialists </w:t>
              <w:br/>
              <w:tab/>
              <w:t xml:space="preserve"> x</w:t>
              <w:tab/>
              <w:t xml:space="preserve">Government bodies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x</w:t>
              <w:tab/>
              <w:t xml:space="preserve">Human Resources Department within your workplace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x</w:t>
              <w:tab/>
              <w:t xml:space="preserve">Unions</w:t>
              <w:br/>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47"/>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reviewing and evaluating a work-related health and safety measure, which of the following might you consider? Select all that apply.</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x</w:t>
              <w:tab/>
              <w:t xml:space="preserve">WHS legislation </w:t>
              <w:br/>
              <w:tab/>
              <w:t xml:space="preserve"> x</w:t>
              <w:tab/>
              <w:t xml:space="preserve">Exposure standards </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x</w:t>
              <w:tab/>
              <w:t xml:space="preserve">Privacy legislation</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x</w:t>
              <w:tab/>
              <w:t xml:space="preserve">Common law rights and duties</w:t>
            </w:r>
          </w:p>
          <w:p>
            <w:pPr>
              <w:spacing w:before="0" w:after="0" w:line="240"/>
              <w:ind w:right="0" w:left="360" w:firstLine="0"/>
              <w:jc w:val="left"/>
              <w:rPr>
                <w:rFonts w:ascii="Calibri" w:hAnsi="Calibri" w:cs="Calibri" w:eastAsia="Calibri"/>
                <w:color w:val="auto"/>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51"/>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implementing a work-related health and safety measure/initiative, a workplace must elect to implement a measure to address specific legislative requirements</w:t>
            </w:r>
            <w:r>
              <w:rPr>
                <w:rFonts w:ascii="Calibri" w:hAnsi="Calibri" w:cs="Calibri" w:eastAsia="Calibri"/>
                <w:i/>
                <w:color w:val="auto"/>
                <w:spacing w:val="0"/>
                <w:position w:val="0"/>
                <w:sz w:val="22"/>
                <w:shd w:fill="auto" w:val="clear"/>
              </w:rPr>
              <w:t xml:space="preserve"> or</w:t>
            </w:r>
            <w:r>
              <w:rPr>
                <w:rFonts w:ascii="Calibri" w:hAnsi="Calibri" w:cs="Calibri" w:eastAsia="Calibri"/>
                <w:color w:val="auto"/>
                <w:spacing w:val="0"/>
                <w:position w:val="0"/>
                <w:sz w:val="22"/>
                <w:shd w:fill="auto" w:val="clear"/>
              </w:rPr>
              <w:t xml:space="preserve"> a voluntary health promotion program. They cannot implement both. </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True</w:t>
              <w:br/>
              <w:tab/>
              <w:t xml:space="preserve">x </w:t>
              <w:tab/>
              <w:t xml:space="preserve">False</w:t>
              <w:br/>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55"/>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Voluntary health promotion programs may make reference to privacy legislation, but are not obliged to follow such legislative requirements. </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True</w:t>
              <w:br/>
              <w:tab/>
              <w:t xml:space="preserve"> x</w:t>
              <w:tab/>
              <w:t xml:space="preserve">False </w:t>
            </w:r>
          </w:p>
          <w:p>
            <w:pPr>
              <w:spacing w:before="0" w:after="0" w:line="240"/>
              <w:ind w:right="0" w:left="360" w:firstLine="0"/>
              <w:jc w:val="left"/>
              <w:rPr>
                <w:rFonts w:ascii="Calibri" w:hAnsi="Calibri" w:cs="Calibri" w:eastAsia="Calibri"/>
                <w:color w:val="auto"/>
                <w:spacing w:val="0"/>
                <w:position w:val="0"/>
                <w:sz w:val="22"/>
                <w:shd w:fill="auto" w:val="clear"/>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0" w:line="240"/>
        <w:ind w:right="0" w:left="360" w:firstLine="0"/>
        <w:jc w:val="left"/>
        <w:rPr>
          <w:rFonts w:ascii="Calibri" w:hAnsi="Calibri" w:cs="Calibri" w:eastAsia="Calibri"/>
          <w:color w:val="auto"/>
          <w:spacing w:val="0"/>
          <w:position w:val="0"/>
          <w:sz w:val="22"/>
          <w:shd w:fill="auto" w:val="clear"/>
        </w:rPr>
      </w:pP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36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Outcome for Quiz</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r>
    </w:tbl>
    <w:p>
      <w:pPr>
        <w:spacing w:before="0" w:after="0" w:line="240"/>
        <w:ind w:right="0" w:left="36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num w:numId="29">
    <w:abstractNumId w:val="120"/>
  </w:num>
  <w:num w:numId="37">
    <w:abstractNumId w:val="114"/>
  </w:num>
  <w:num w:numId="41">
    <w:abstractNumId w:val="108"/>
  </w:num>
  <w:num w:numId="44">
    <w:abstractNumId w:val="102"/>
  </w:num>
  <w:num w:numId="48">
    <w:abstractNumId w:val="96"/>
  </w:num>
  <w:num w:numId="51">
    <w:abstractNumId w:val="90"/>
  </w:num>
  <w:num w:numId="62">
    <w:abstractNumId w:val="84"/>
  </w:num>
  <w:num w:numId="65">
    <w:abstractNumId w:val="78"/>
  </w:num>
  <w:num w:numId="111">
    <w:abstractNumId w:val="72"/>
  </w:num>
  <w:num w:numId="115">
    <w:abstractNumId w:val="66"/>
  </w:num>
  <w:num w:numId="141">
    <w:abstractNumId w:val="60"/>
  </w:num>
  <w:num w:numId="145">
    <w:abstractNumId w:val="54"/>
  </w:num>
  <w:num w:numId="176">
    <w:abstractNumId w:val="48"/>
  </w:num>
  <w:num w:numId="180">
    <w:abstractNumId w:val="42"/>
  </w:num>
  <w:num w:numId="206">
    <w:abstractNumId w:val="36"/>
  </w:num>
  <w:num w:numId="210">
    <w:abstractNumId w:val="30"/>
  </w:num>
  <w:num w:numId="238">
    <w:abstractNumId w:val="24"/>
  </w:num>
  <w:num w:numId="242">
    <w:abstractNumId w:val="18"/>
  </w:num>
  <w:num w:numId="247">
    <w:abstractNumId w:val="12"/>
  </w:num>
  <w:num w:numId="251">
    <w:abstractNumId w:val="6"/>
  </w:num>
  <w:num w:numId="255">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edia/image1.wmf" Id="docRId3" Type="http://schemas.openxmlformats.org/officeDocument/2006/relationships/image"/><Relationship TargetMode="External" Target="http://www.comlaw.gov.au/" Id="docRId7" Type="http://schemas.openxmlformats.org/officeDocument/2006/relationships/hyperlink"/><Relationship Target="embeddings/oleObject0.bin" Id="docRId0" Type="http://schemas.openxmlformats.org/officeDocument/2006/relationships/oleObject"/><Relationship Target="numbering.xml" Id="docRId10" Type="http://schemas.openxmlformats.org/officeDocument/2006/relationships/numbering"/><Relationship Target="embeddings/oleObject1.bin" Id="docRId2" Type="http://schemas.openxmlformats.org/officeDocument/2006/relationships/oleObject"/><Relationship Target="embeddings/oleObject2.bin" Id="docRId4" Type="http://schemas.openxmlformats.org/officeDocument/2006/relationships/oleObject"/><Relationship TargetMode="External" Target="http://www.safeworkaustralia.gov.au/" Id="docRId6" Type="http://schemas.openxmlformats.org/officeDocument/2006/relationships/hyperlink"/><Relationship TargetMode="External" Target="http://www.safeworkaustralia.gov.au/" Id="docRId8" Type="http://schemas.openxmlformats.org/officeDocument/2006/relationships/hyperlink"/><Relationship Target="media/image0.wmf" Id="docRId1" Type="http://schemas.openxmlformats.org/officeDocument/2006/relationships/image"/><Relationship Target="styles.xml" Id="docRId11" Type="http://schemas.openxmlformats.org/officeDocument/2006/relationships/styles"/><Relationship Target="media/image2.wmf" Id="docRId5" Type="http://schemas.openxmlformats.org/officeDocument/2006/relationships/image"/><Relationship TargetMode="External" Target="http://www.hsis.safeworkaustralia.gov.au/" Id="docRId9" Type="http://schemas.openxmlformats.org/officeDocument/2006/relationships/hyperlink"/></Relationships>
</file>