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spacing w:before="120" w:after="0" w:line="360" w:lineRule="auto"/>
        <w:jc w:val="center"/>
        <w:outlineLvl w:val="0"/>
        <w:rPr>
          <w:rFonts w:ascii="Arial" w:hAnsi="Arial" w:eastAsia="Times New Roman" w:cs="Arial"/>
          <w:b/>
          <w:bCs/>
          <w:color w:val="000000"/>
          <w:sz w:val="32"/>
          <w:szCs w:val="32"/>
          <w:lang w:eastAsia="en-AU"/>
        </w:rPr>
      </w:pPr>
      <w:r>
        <w:rPr>
          <w:rFonts w:ascii="Arial" w:hAnsi="Arial" w:eastAsia="Times New Roman" w:cs="Arial"/>
          <w:b/>
          <w:bCs/>
          <w:color w:val="000000"/>
          <w:sz w:val="32"/>
          <w:szCs w:val="32"/>
          <w:lang w:eastAsia="en-AU"/>
        </w:rPr>
        <w:t>Documentation of design and construction (suitability or evidence of suitability)</w:t>
      </w:r>
    </w:p>
    <w:tbl>
      <w:tblPr>
        <w:tblStyle w:val="7"/>
        <w:tblW w:w="140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7"/>
        <w:gridCol w:w="4296"/>
        <w:gridCol w:w="1232"/>
        <w:gridCol w:w="5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4087" w:type="dxa"/>
            <w:gridSpan w:val="4"/>
            <w:shd w:val="clear" w:color="auto" w:fill="FFFFFF"/>
            <w:vAlign w:val="center"/>
          </w:tcPr>
          <w:p>
            <w:pPr>
              <w:autoSpaceDE w:val="0"/>
              <w:autoSpaceDN w:val="0"/>
              <w:adjustRightInd w:val="0"/>
              <w:spacing w:before="144" w:beforeLines="60" w:after="144" w:afterLines="60" w:line="276" w:lineRule="auto"/>
              <w:jc w:val="both"/>
              <w:outlineLvl w:val="0"/>
              <w:rPr>
                <w:rFonts w:ascii="Arial" w:hAnsi="Arial" w:eastAsia="Times New Roman" w:cs="Arial"/>
                <w:bCs/>
                <w:sz w:val="20"/>
                <w:szCs w:val="20"/>
              </w:rPr>
            </w:pPr>
            <w:r>
              <w:rPr>
                <w:rFonts w:ascii="Arial" w:hAnsi="Arial" w:eastAsia="Times New Roman" w:cs="Arial"/>
                <w:b/>
                <w:color w:val="000000"/>
                <w:sz w:val="20"/>
                <w:szCs w:val="20"/>
              </w:rPr>
              <w:t>Project Name:</w:t>
            </w:r>
            <w:r>
              <w:rPr>
                <w:rFonts w:ascii="Arial" w:hAnsi="Arial" w:eastAsia="Times New Roman" w:cs="Arial"/>
                <w:bCs/>
                <w:color w:val="44546A"/>
                <w:sz w:val="20"/>
                <w:szCs w:val="20"/>
              </w:rPr>
              <w:t xml:space="preserve"> </w:t>
            </w:r>
            <w:r>
              <w:rPr>
                <w:rFonts w:ascii="Arial" w:hAnsi="Arial" w:eastAsia="Times New Roman" w:cs="Arial"/>
                <w:bCs/>
                <w:color w:val="44546A"/>
                <w:sz w:val="20"/>
                <w:szCs w:val="20"/>
              </w:rPr>
              <w:t xml:space="preserve"> </w:t>
            </w:r>
            <w:r>
              <w:rPr>
                <w:rFonts w:hint="eastAsia" w:ascii="Arial" w:hAnsi="Arial" w:eastAsia="宋体" w:cs="Arial"/>
                <w:bCs/>
                <w:color w:val="44546A"/>
                <w:sz w:val="20"/>
                <w:szCs w:val="20"/>
                <w:lang w:val="en-US" w:eastAsia="zh-CN"/>
              </w:rPr>
              <w:t>Granny flat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043" w:type="dxa"/>
            <w:gridSpan w:val="2"/>
            <w:shd w:val="clear" w:color="auto" w:fill="FFFFFF"/>
            <w:vAlign w:val="center"/>
          </w:tcPr>
          <w:p>
            <w:pPr>
              <w:autoSpaceDE w:val="0"/>
              <w:autoSpaceDN w:val="0"/>
              <w:adjustRightInd w:val="0"/>
              <w:spacing w:before="144" w:beforeLines="60" w:after="144" w:afterLines="60" w:line="276" w:lineRule="auto"/>
              <w:jc w:val="both"/>
              <w:outlineLvl w:val="0"/>
              <w:rPr>
                <w:rFonts w:ascii="Arial" w:hAnsi="Arial" w:eastAsia="Times New Roman" w:cs="Arial"/>
                <w:bCs/>
                <w:sz w:val="20"/>
                <w:szCs w:val="20"/>
              </w:rPr>
            </w:pPr>
            <w:r>
              <w:rPr>
                <w:rFonts w:ascii="Arial" w:hAnsi="Arial" w:eastAsia="Times New Roman" w:cs="Arial"/>
                <w:b/>
                <w:color w:val="000000"/>
                <w:sz w:val="20"/>
                <w:szCs w:val="20"/>
              </w:rPr>
              <w:t xml:space="preserve">Project address: </w:t>
            </w:r>
            <w:r>
              <w:rPr>
                <w:rFonts w:hint="eastAsia" w:ascii="Arial" w:hAnsi="Arial" w:eastAsia="宋体" w:cs="Arial"/>
                <w:bCs/>
                <w:color w:val="000000"/>
                <w:sz w:val="20"/>
                <w:szCs w:val="20"/>
                <w:lang w:val="en-US" w:eastAsia="zh-CN"/>
              </w:rPr>
              <w:t>95 Woodlands Road Gatton</w:t>
            </w:r>
          </w:p>
        </w:tc>
        <w:tc>
          <w:tcPr>
            <w:tcW w:w="7044" w:type="dxa"/>
            <w:gridSpan w:val="2"/>
            <w:shd w:val="clear" w:color="auto" w:fill="FFFFFF"/>
            <w:vAlign w:val="center"/>
          </w:tcPr>
          <w:p>
            <w:pPr>
              <w:autoSpaceDE w:val="0"/>
              <w:autoSpaceDN w:val="0"/>
              <w:adjustRightInd w:val="0"/>
              <w:spacing w:before="144" w:beforeLines="60" w:after="144" w:afterLines="60" w:line="276" w:lineRule="auto"/>
              <w:jc w:val="both"/>
              <w:outlineLvl w:val="0"/>
              <w:rPr>
                <w:rFonts w:hint="default" w:ascii="Arial" w:hAnsi="Arial" w:eastAsia="宋体" w:cs="Arial"/>
                <w:bCs/>
                <w:sz w:val="20"/>
                <w:szCs w:val="20"/>
                <w:lang w:val="en-US" w:eastAsia="zh-CN"/>
              </w:rPr>
            </w:pPr>
            <w:r>
              <w:rPr>
                <w:rFonts w:ascii="Arial" w:hAnsi="Arial" w:eastAsia="Times New Roman" w:cs="Arial"/>
                <w:b/>
                <w:color w:val="000000"/>
                <w:sz w:val="20"/>
                <w:szCs w:val="20"/>
              </w:rPr>
              <w:t xml:space="preserve">Site Plan attached: </w:t>
            </w:r>
            <w:r>
              <w:rPr>
                <w:rFonts w:hint="eastAsia" w:ascii="Arial" w:hAnsi="Arial" w:eastAsia="宋体" w:cs="Arial"/>
                <w:b/>
                <w:color w:val="000000"/>
                <w:sz w:val="20"/>
                <w:szCs w:val="20"/>
                <w:lang w:val="en-US" w:eastAsia="zh-CN"/>
              </w:rPr>
              <w:t>Yes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4087" w:type="dxa"/>
            <w:gridSpan w:val="4"/>
            <w:shd w:val="clear" w:color="auto" w:fill="FFFFFF"/>
            <w:vAlign w:val="center"/>
          </w:tcPr>
          <w:p>
            <w:pPr>
              <w:autoSpaceDE w:val="0"/>
              <w:autoSpaceDN w:val="0"/>
              <w:adjustRightInd w:val="0"/>
              <w:spacing w:before="144" w:beforeLines="60" w:after="144" w:afterLines="60" w:line="276" w:lineRule="auto"/>
              <w:jc w:val="both"/>
              <w:rPr>
                <w:rFonts w:ascii="Arial" w:hAnsi="Arial" w:eastAsia="Times New Roman" w:cs="Arial"/>
                <w:bCs/>
                <w:vanish/>
                <w:sz w:val="20"/>
                <w:szCs w:val="20"/>
              </w:rPr>
            </w:pPr>
            <w:r>
              <w:rPr>
                <w:rFonts w:ascii="Arial" w:hAnsi="Arial" w:eastAsia="Times New Roman" w:cs="Arial"/>
                <w:b/>
                <w:color w:val="000000"/>
                <w:sz w:val="20"/>
                <w:szCs w:val="20"/>
              </w:rPr>
              <w:t>Prepared by:</w:t>
            </w:r>
            <w:r>
              <w:rPr>
                <w:rFonts w:ascii="Arial" w:hAnsi="Arial" w:eastAsia="Times New Roman" w:cs="Arial"/>
                <w:bCs/>
                <w:color w:val="44546A"/>
                <w:sz w:val="20"/>
                <w:szCs w:val="20"/>
              </w:rPr>
              <w:t xml:space="preserve"> </w:t>
            </w:r>
            <w:r>
              <w:rPr>
                <w:rFonts w:hint="eastAsia" w:ascii="Arial" w:hAnsi="Arial" w:eastAsia="宋体" w:cs="Arial"/>
                <w:bCs/>
                <w:color w:val="44546A"/>
                <w:sz w:val="20"/>
                <w:szCs w:val="20"/>
                <w:lang w:val="en-US" w:eastAsia="zh-CN"/>
              </w:rPr>
              <w:t>Dawn Construction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14087" w:type="dxa"/>
            <w:gridSpan w:val="4"/>
            <w:shd w:val="clear" w:color="auto" w:fill="FFFFFF"/>
            <w:vAlign w:val="center"/>
          </w:tcPr>
          <w:p>
            <w:pPr>
              <w:autoSpaceDE w:val="0"/>
              <w:autoSpaceDN w:val="0"/>
              <w:adjustRightInd w:val="0"/>
              <w:spacing w:before="144" w:beforeLines="60" w:after="144" w:afterLines="60" w:line="276" w:lineRule="auto"/>
              <w:jc w:val="both"/>
              <w:outlineLvl w:val="0"/>
              <w:rPr>
                <w:rFonts w:hint="default" w:ascii="Arial" w:hAnsi="Arial" w:eastAsia="宋体" w:cs="Arial"/>
                <w:bCs/>
                <w:sz w:val="20"/>
                <w:szCs w:val="20"/>
                <w:lang w:val="en-US" w:eastAsia="zh-CN"/>
              </w:rPr>
            </w:pPr>
            <w:r>
              <w:rPr>
                <w:rFonts w:ascii="Arial" w:hAnsi="Arial" w:eastAsia="Times New Roman" w:cs="Arial"/>
                <w:b/>
                <w:color w:val="000000"/>
                <w:sz w:val="20"/>
                <w:szCs w:val="20"/>
              </w:rPr>
              <w:t>Date:</w:t>
            </w:r>
            <w:r>
              <w:rPr>
                <w:rFonts w:ascii="Arial" w:hAnsi="Arial" w:eastAsia="Times New Roman" w:cs="Arial"/>
                <w:bCs/>
                <w:color w:val="44546A"/>
                <w:sz w:val="20"/>
                <w:szCs w:val="20"/>
              </w:rPr>
              <w:t xml:space="preserve"> </w:t>
            </w:r>
            <w:r>
              <w:rPr>
                <w:rFonts w:hint="eastAsia" w:ascii="Arial" w:hAnsi="Arial" w:eastAsia="宋体" w:cs="Arial"/>
                <w:bCs/>
                <w:color w:val="44546A"/>
                <w:sz w:val="20"/>
                <w:szCs w:val="20"/>
                <w:lang w:val="en-US" w:eastAsia="zh-CN"/>
              </w:rPr>
              <w:t>11/12/2023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0" w:hRule="atLeast"/>
        </w:trPr>
        <w:tc>
          <w:tcPr>
            <w:tcW w:w="14087" w:type="dxa"/>
            <w:gridSpan w:val="4"/>
            <w:shd w:val="clear" w:color="auto" w:fill="FFFFFF"/>
          </w:tcPr>
          <w:p>
            <w:pPr>
              <w:autoSpaceDE w:val="0"/>
              <w:autoSpaceDN w:val="0"/>
              <w:adjustRightInd w:val="0"/>
              <w:spacing w:before="144" w:beforeLines="60" w:after="144" w:afterLines="60" w:line="276" w:lineRule="auto"/>
              <w:outlineLvl w:val="0"/>
              <w:rPr>
                <w:rFonts w:ascii="Arial" w:hAnsi="Arial" w:eastAsia="Times New Roman" w:cs="Arial"/>
                <w:b/>
                <w:color w:val="000000"/>
                <w:sz w:val="20"/>
                <w:szCs w:val="20"/>
              </w:rPr>
            </w:pPr>
            <w:r>
              <w:rPr>
                <w:rFonts w:ascii="Arial" w:hAnsi="Arial" w:eastAsia="Times New Roman" w:cs="Arial"/>
                <w:b/>
                <w:color w:val="000000"/>
                <w:sz w:val="20"/>
                <w:szCs w:val="20"/>
              </w:rPr>
              <w:t>Description of project:</w:t>
            </w:r>
          </w:p>
          <w:p>
            <w:pPr>
              <w:autoSpaceDE w:val="0"/>
              <w:autoSpaceDN w:val="0"/>
              <w:adjustRightInd w:val="0"/>
              <w:spacing w:before="144" w:beforeLines="60" w:after="144" w:afterLines="60" w:line="276" w:lineRule="auto"/>
              <w:outlineLvl w:val="0"/>
              <w:rPr>
                <w:rFonts w:ascii="Arial" w:hAnsi="Arial" w:eastAsia="Times New Roman" w:cs="Arial"/>
                <w:bCs/>
                <w:sz w:val="20"/>
                <w:szCs w:val="20"/>
              </w:rPr>
            </w:pPr>
            <w:r>
              <w:rPr>
                <w:rFonts w:hint="eastAsia" w:ascii="Arial" w:hAnsi="Arial" w:eastAsia="Times New Roman" w:cs="Arial"/>
                <w:bCs/>
                <w:sz w:val="20"/>
                <w:szCs w:val="20"/>
              </w:rPr>
              <w:t xml:space="preserve">Building a new granny Falt at the back of house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0" w:hRule="atLeast"/>
        </w:trPr>
        <w:tc>
          <w:tcPr>
            <w:tcW w:w="14087" w:type="dxa"/>
            <w:gridSpan w:val="4"/>
            <w:shd w:val="clear" w:color="auto" w:fill="FFFFFF"/>
          </w:tcPr>
          <w:p>
            <w:pPr>
              <w:autoSpaceDE w:val="0"/>
              <w:autoSpaceDN w:val="0"/>
              <w:adjustRightInd w:val="0"/>
              <w:spacing w:before="144" w:beforeLines="60" w:after="144" w:afterLines="60" w:line="276" w:lineRule="auto"/>
              <w:outlineLvl w:val="0"/>
              <w:rPr>
                <w:rFonts w:ascii="Arial" w:hAnsi="Arial" w:eastAsia="Times New Roman" w:cs="Arial"/>
                <w:b/>
                <w:color w:val="000000"/>
                <w:sz w:val="20"/>
                <w:szCs w:val="20"/>
              </w:rPr>
            </w:pPr>
            <w:r>
              <w:rPr>
                <w:rFonts w:ascii="Arial" w:hAnsi="Arial" w:eastAsia="Times New Roman" w:cs="Arial"/>
                <w:b/>
                <w:color w:val="000000"/>
                <w:sz w:val="20"/>
                <w:szCs w:val="20"/>
              </w:rPr>
              <w:t>Site Classification/s:</w:t>
            </w:r>
          </w:p>
          <w:p>
            <w:pPr>
              <w:autoSpaceDE w:val="0"/>
              <w:autoSpaceDN w:val="0"/>
              <w:adjustRightInd w:val="0"/>
              <w:spacing w:before="144" w:beforeLines="60" w:after="144" w:afterLines="60" w:line="276" w:lineRule="auto"/>
              <w:outlineLvl w:val="0"/>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Class one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Cs/>
                <w:color w:val="44546A" w:themeColor="text2"/>
                <w:sz w:val="20"/>
                <w:szCs w:val="20"/>
                <w14:textFill>
                  <w14:solidFill>
                    <w14:schemeClr w14:val="tx2"/>
                  </w14:solidFill>
                </w14:textFill>
              </w:rPr>
            </w:pPr>
            <w:r>
              <w:rPr>
                <w:rFonts w:ascii="Arial" w:hAnsi="Arial" w:eastAsia="Times New Roman" w:cs="Arial"/>
                <w:b/>
                <w:color w:val="000000"/>
                <w:sz w:val="20"/>
                <w:szCs w:val="20"/>
              </w:rPr>
              <w:t>Documentation of design and construction (suitability or evidence of suitability)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Site preparation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Site preparation</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4"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Earthworks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The provisions in Part 3.1.1 will enable earthworks associated with the construction of a building to be carried out safely and to avoid potential damage to the subject building, adjoining structures and property through the soil collapsing or subsiding.</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Site cut and fill using un-retained embankments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Site preparation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Site preparation</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Earth retaining structures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AS 4678 contains requirements for earth retaining structures between 800 mm and 15 m in height, and does not apply to structures which are founded in exceptional site conditions (e.g. landslips), are subjected to sustained cyclic loading or are used for the purposes of water-retaining (e.g. dams and reservoirs).</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宋体" w:cs="Arial"/>
                <w:bCs/>
                <w:color w:val="000000"/>
                <w:sz w:val="20"/>
                <w:szCs w:val="20"/>
                <w:lang w:val="en-US" w:eastAsia="zh-CN"/>
              </w:rPr>
              <w:t>Follow the engineer suggestion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4"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Drainage</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The ground beneath suspended floors must be graded so that the area beneath the building is above the adjacent external finished ground level and surface water is prevented from ponding under the building</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宋体" w:cs="Arial"/>
                <w:bCs/>
                <w:color w:val="000000"/>
                <w:sz w:val="20"/>
                <w:szCs w:val="20"/>
                <w:lang w:val="en-US" w:eastAsia="zh-CN"/>
              </w:rPr>
              <w:t>Fall in finished external surface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Site preparation</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Termite risk management</w:t>
            </w:r>
          </w:p>
        </w:tc>
        <w:tc>
          <w:tcPr>
            <w:tcW w:w="5528" w:type="dxa"/>
            <w:gridSpan w:val="2"/>
            <w:shd w:val="clear" w:color="auto" w:fill="auto"/>
          </w:tcPr>
          <w:p>
            <w:pPr>
              <w:spacing w:before="144" w:beforeLines="60" w:after="144" w:afterLines="60" w:line="276" w:lineRule="auto"/>
              <w:rPr>
                <w:rFonts w:hint="eastAsia" w:ascii="Arial" w:hAnsi="Arial" w:eastAsia="Times New Roman" w:cs="Arial"/>
                <w:bCs/>
                <w:color w:val="000000"/>
                <w:sz w:val="20"/>
                <w:szCs w:val="20"/>
              </w:rPr>
            </w:pPr>
            <w:r>
              <w:rPr>
                <w:rFonts w:hint="eastAsia" w:ascii="Arial" w:hAnsi="Arial" w:eastAsia="Times New Roman" w:cs="Arial"/>
                <w:bCs/>
                <w:color w:val="000000"/>
                <w:sz w:val="20"/>
                <w:szCs w:val="20"/>
              </w:rPr>
              <w:t>(i)a Class 1 or 10 building is constructed in an area where subterranean termites are known to present a potential risk of attack; and</w:t>
            </w:r>
          </w:p>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 primary building element of a Class 1 or 10 building is considered susceptible to termite attack.</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宋体" w:cs="Arial"/>
                <w:bCs/>
                <w:color w:val="000000"/>
                <w:sz w:val="20"/>
                <w:szCs w:val="20"/>
                <w:lang w:val="en-US" w:eastAsia="zh-CN"/>
              </w:rPr>
              <w:t>Install termite management sysytem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Suspended floors</w:t>
            </w:r>
          </w:p>
        </w:tc>
        <w:tc>
          <w:tcPr>
            <w:tcW w:w="5812" w:type="dxa"/>
            <w:shd w:val="clear" w:color="auto" w:fill="auto"/>
            <w:vAlign w:val="top"/>
          </w:tcPr>
          <w:p>
            <w:pPr>
              <w:spacing w:before="144" w:beforeLines="60" w:after="144" w:afterLines="60" w:line="276" w:lineRule="auto"/>
              <w:rPr>
                <w:rFonts w:ascii="Arial" w:hAnsi="Arial" w:eastAsia="Times New Roman" w:cs="Arial"/>
                <w:bCs/>
                <w:color w:val="000000"/>
                <w:sz w:val="20"/>
                <w:szCs w:val="20"/>
                <w:lang w:val="en-AU" w:eastAsia="en-US" w:bidi="ar-SA"/>
              </w:rPr>
            </w:pPr>
            <w:r>
              <w:rPr>
                <w:rFonts w:hint="eastAsia" w:ascii="Arial" w:hAnsi="Arial" w:eastAsia="Times New Roman" w:cs="Arial"/>
                <w:bCs/>
                <w:color w:val="000000"/>
                <w:sz w:val="20"/>
                <w:szCs w:val="20"/>
              </w:rPr>
              <w:t>Sheet material</w:t>
            </w:r>
            <w:r>
              <w:rPr>
                <w:rFonts w:hint="eastAsia" w:ascii="Arial" w:hAnsi="Arial" w:eastAsia="宋体" w:cs="Arial"/>
                <w:bCs/>
                <w:color w:val="000000"/>
                <w:sz w:val="20"/>
                <w:szCs w:val="20"/>
                <w:lang w:val="en-US" w:eastAsia="zh-CN"/>
              </w:rPr>
              <w:t xml:space="preserve"> </w:t>
            </w:r>
            <w:r>
              <w:rPr>
                <w:rFonts w:hint="eastAsia" w:ascii="Arial" w:hAnsi="Arial" w:eastAsia="Times New Roman" w:cs="Arial"/>
                <w:bCs/>
                <w:color w:val="000000"/>
                <w:sz w:val="20"/>
                <w:szCs w:val="20"/>
              </w:rPr>
              <w:t>Granular material</w:t>
            </w:r>
            <w:r>
              <w:rPr>
                <w:rFonts w:hint="eastAsia" w:ascii="Arial" w:hAnsi="Arial" w:eastAsia="宋体" w:cs="Arial"/>
                <w:bCs/>
                <w:color w:val="000000"/>
                <w:sz w:val="20"/>
                <w:szCs w:val="20"/>
                <w:lang w:val="en-US" w:eastAsia="zh-CN"/>
              </w:rPr>
              <w:t xml:space="preserve"> </w:t>
            </w:r>
            <w:r>
              <w:rPr>
                <w:rFonts w:hint="eastAsia" w:ascii="Arial" w:hAnsi="Arial" w:eastAsia="Times New Roman" w:cs="Arial"/>
                <w:bCs/>
                <w:color w:val="000000"/>
                <w:sz w:val="20"/>
                <w:szCs w:val="20"/>
              </w:rPr>
              <w:t>Chemical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Footings and slabs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14087" w:type="dxa"/>
            <w:gridSpan w:val="4"/>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Site classification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Footings and slabs</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Footings and slabs</w:t>
            </w:r>
          </w:p>
        </w:tc>
        <w:tc>
          <w:tcPr>
            <w:tcW w:w="5528" w:type="dxa"/>
            <w:gridSpan w:val="2"/>
            <w:shd w:val="clear" w:color="auto" w:fill="auto"/>
          </w:tcPr>
          <w:p>
            <w:pPr>
              <w:keepNext w:val="0"/>
              <w:keepLines w:val="0"/>
              <w:widowControl/>
              <w:suppressLineNumbers w:val="0"/>
              <w:shd w:val="clear" w:fill="FFFFFF"/>
              <w:ind w:left="0" w:firstLine="0"/>
              <w:jc w:val="left"/>
            </w:pPr>
            <w:r>
              <w:rPr>
                <w:rFonts w:hint="default" w:ascii="Arial" w:hAnsi="Arial" w:eastAsia="Arial" w:cs="Arial"/>
                <w:i w:val="0"/>
                <w:iCs w:val="0"/>
                <w:caps w:val="0"/>
                <w:color w:val="333333"/>
                <w:spacing w:val="0"/>
                <w:kern w:val="0"/>
                <w:sz w:val="24"/>
                <w:szCs w:val="24"/>
                <w:shd w:val="clear" w:fill="FFFFFF"/>
                <w:lang w:val="en-US" w:eastAsia="zh-CN" w:bidi="ar"/>
              </w:rPr>
              <w:t>a)</w:t>
            </w:r>
            <w:r>
              <w:rPr>
                <w:rFonts w:hint="default" w:ascii="Arial" w:hAnsi="Arial" w:eastAsia="Arial" w:cs="Arial"/>
                <w:i w:val="0"/>
                <w:iCs w:val="0"/>
                <w:caps w:val="0"/>
                <w:color w:val="333333"/>
                <w:spacing w:val="0"/>
                <w:sz w:val="24"/>
                <w:szCs w:val="24"/>
                <w:shd w:val="clear" w:fill="FFFFFF"/>
              </w:rPr>
              <w:t>The footing or slab is constructed in accordance with AS 2870.</w:t>
            </w:r>
          </w:p>
          <w:p>
            <w:pPr>
              <w:keepNext w:val="0"/>
              <w:keepLines w:val="0"/>
              <w:widowControl/>
              <w:suppressLineNumbers w:val="0"/>
              <w:shd w:val="clear" w:fill="FFFFFF"/>
              <w:ind w:left="0" w:firstLine="0"/>
              <w:jc w:val="left"/>
            </w:pPr>
            <w:r>
              <w:rPr>
                <w:rFonts w:hint="default" w:ascii="Arial" w:hAnsi="Arial" w:eastAsia="Arial" w:cs="Arial"/>
                <w:i w:val="0"/>
                <w:iCs w:val="0"/>
                <w:caps w:val="0"/>
                <w:color w:val="333333"/>
                <w:spacing w:val="0"/>
                <w:kern w:val="0"/>
                <w:sz w:val="24"/>
                <w:szCs w:val="24"/>
                <w:shd w:val="clear" w:fill="FFFFFF"/>
                <w:lang w:val="en-US" w:eastAsia="zh-CN" w:bidi="ar"/>
              </w:rPr>
              <w:t>(b)</w:t>
            </w:r>
            <w:r>
              <w:rPr>
                <w:rFonts w:hint="default" w:ascii="Arial" w:hAnsi="Arial" w:eastAsia="Arial" w:cs="Arial"/>
                <w:i w:val="0"/>
                <w:iCs w:val="0"/>
                <w:caps w:val="0"/>
                <w:color w:val="333333"/>
                <w:spacing w:val="0"/>
                <w:sz w:val="24"/>
                <w:szCs w:val="24"/>
                <w:shd w:val="clear" w:fill="FFFFFF"/>
              </w:rPr>
              <w:t>Piled footings are designed in accordance with AS 2159.</w:t>
            </w:r>
          </w:p>
          <w:p>
            <w:pPr>
              <w:spacing w:before="144" w:beforeLines="60" w:after="144" w:afterLines="60" w:line="276" w:lineRule="auto"/>
              <w:rPr>
                <w:rFonts w:ascii="Arial" w:hAnsi="Arial" w:eastAsia="Times New Roman" w:cs="Arial"/>
                <w:bCs/>
                <w:color w:val="000000"/>
                <w:sz w:val="20"/>
                <w:szCs w:val="20"/>
              </w:rPr>
            </w:pP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Sand used in controlled fill or rolled fill must not contain any gravel size material and achieve a blow count of 7 or more per 300 mm using the test method described in AS 1289.6.3.3.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Footings and slabs</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4"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Moisture Barrier</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 vapour barrier must be installed under slab-on-ground construction for a Class 1 building and for a Class 10 building where the slab is continuous with the slab of a Class 1 building in accordance with (2), (3), (4) and (5).</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宋体" w:cs="Arial"/>
                <w:bCs/>
                <w:color w:val="000000"/>
                <w:sz w:val="20"/>
                <w:szCs w:val="20"/>
                <w:lang w:val="en-US" w:eastAsia="zh-CN"/>
              </w:rPr>
              <w:t>Barrier installation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default" w:ascii="Arial" w:hAnsi="Arial" w:eastAsia="宋体" w:cs="Arial"/>
                <w:bCs/>
                <w:color w:val="000000"/>
                <w:sz w:val="20"/>
                <w:szCs w:val="20"/>
                <w:lang w:val="en-US" w:eastAsia="zh-CN"/>
              </w:rPr>
              <w:t>0.2 mm nominal thickness polyethylene film</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Fully seal where punctured (unless for service penetrations) with additional polyethylene film and tape.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Concrete and reinforcement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Concrete and reinforcement</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Concrete and reinforcement</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Concrete must be placed, compacted and cured in accordance with good building practice.</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Care should be taken when using chemical curing methods, because some products may not be compatible with adhesives used to fix surface finishes to the slab.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ascii="Arial" w:hAnsi="Arial" w:eastAsia="Arial" w:cs="Arial"/>
                <w:i w:val="0"/>
                <w:iCs w:val="0"/>
                <w:caps w:val="0"/>
                <w:color w:val="333333"/>
                <w:spacing w:val="0"/>
                <w:sz w:val="24"/>
                <w:szCs w:val="24"/>
                <w:shd w:val="clear" w:fill="FFFFFF"/>
              </w:rPr>
              <w:t>Steel reinforcing bars</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One outer bar must be bent and continue 500 mm (min) around corner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Masonry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Masonry</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Masonry</w:t>
            </w:r>
          </w:p>
        </w:tc>
        <w:tc>
          <w:tcPr>
            <w:tcW w:w="5528" w:type="dxa"/>
            <w:gridSpan w:val="2"/>
            <w:shd w:val="clear" w:color="auto" w:fill="auto"/>
          </w:tcPr>
          <w:p>
            <w:pPr>
              <w:pStyle w:val="6"/>
              <w:keepNext w:val="0"/>
              <w:keepLines w:val="0"/>
              <w:widowControl/>
              <w:suppressLineNumbers w:val="0"/>
              <w:shd w:val="clear" w:fill="FFFFFF"/>
              <w:ind w:left="0" w:firstLine="0"/>
              <w:rPr>
                <w:rFonts w:ascii="Arial" w:hAnsi="Arial" w:eastAsia="Arial" w:cs="Arial"/>
                <w:i w:val="0"/>
                <w:iCs w:val="0"/>
                <w:caps w:val="0"/>
                <w:color w:val="333333"/>
                <w:spacing w:val="0"/>
                <w:sz w:val="24"/>
                <w:szCs w:val="24"/>
              </w:rPr>
            </w:pPr>
            <w:r>
              <w:rPr>
                <w:rFonts w:hint="default" w:ascii="Arial" w:hAnsi="Arial" w:eastAsia="Arial" w:cs="Arial"/>
                <w:i w:val="0"/>
                <w:iCs w:val="0"/>
                <w:caps w:val="0"/>
                <w:spacing w:val="0"/>
                <w:sz w:val="24"/>
                <w:szCs w:val="24"/>
                <w:u w:val="single"/>
                <w:shd w:val="clear" w:fill="FFFFFF"/>
              </w:rPr>
              <w:fldChar w:fldCharType="begin"/>
            </w:r>
            <w:r>
              <w:rPr>
                <w:rFonts w:hint="default" w:ascii="Arial" w:hAnsi="Arial" w:eastAsia="Arial" w:cs="Arial"/>
                <w:i w:val="0"/>
                <w:iCs w:val="0"/>
                <w:caps w:val="0"/>
                <w:spacing w:val="0"/>
                <w:sz w:val="24"/>
                <w:szCs w:val="24"/>
                <w:u w:val="single"/>
                <w:shd w:val="clear" w:fill="FFFFFF"/>
              </w:rPr>
              <w:instrText xml:space="preserve"> HYPERLINK "https://ncc.abcb.gov.au/editions/2019-a1/ncc-2019-volume-three-amendment-1/schedule-3-defined-terms/schedule-3-definitions" \l "idf6f08d0e-4e30-4292-a68f-2684bc97e771" </w:instrText>
            </w:r>
            <w:r>
              <w:rPr>
                <w:rFonts w:hint="default" w:ascii="Arial" w:hAnsi="Arial" w:eastAsia="Arial" w:cs="Arial"/>
                <w:i w:val="0"/>
                <w:iCs w:val="0"/>
                <w:caps w:val="0"/>
                <w:spacing w:val="0"/>
                <w:sz w:val="24"/>
                <w:szCs w:val="24"/>
                <w:u w:val="single"/>
                <w:shd w:val="clear" w:fill="FFFFFF"/>
              </w:rPr>
              <w:fldChar w:fldCharType="separate"/>
            </w:r>
            <w:r>
              <w:rPr>
                <w:rStyle w:val="9"/>
                <w:rFonts w:hint="default" w:ascii="Arial" w:hAnsi="Arial" w:eastAsia="Arial" w:cs="Arial"/>
                <w:i/>
                <w:iCs/>
                <w:caps w:val="0"/>
                <w:spacing w:val="0"/>
                <w:sz w:val="24"/>
                <w:szCs w:val="24"/>
                <w:u w:val="single"/>
                <w:shd w:val="clear" w:fill="FFFFFF"/>
              </w:rPr>
              <w:t>unreinforced masonry</w:t>
            </w:r>
            <w:r>
              <w:rPr>
                <w:rFonts w:hint="default" w:ascii="Arial" w:hAnsi="Arial" w:eastAsia="Arial" w:cs="Arial"/>
                <w:i w:val="0"/>
                <w:iCs w:val="0"/>
                <w:caps w:val="0"/>
                <w:spacing w:val="0"/>
                <w:sz w:val="24"/>
                <w:szCs w:val="24"/>
                <w:u w:val="single"/>
                <w:shd w:val="clear" w:fill="FFFFFF"/>
              </w:rPr>
              <w:fldChar w:fldCharType="end"/>
            </w:r>
            <w:r>
              <w:rPr>
                <w:rFonts w:hint="default" w:ascii="Arial" w:hAnsi="Arial" w:eastAsia="Arial" w:cs="Arial"/>
                <w:i w:val="0"/>
                <w:iCs w:val="0"/>
                <w:caps w:val="0"/>
                <w:color w:val="333333"/>
                <w:spacing w:val="0"/>
                <w:sz w:val="24"/>
                <w:szCs w:val="24"/>
                <w:shd w:val="clear" w:fill="FFFFFF"/>
              </w:rPr>
              <w:t> (including masonry-veneer) if it is designed and constructed in accordance with one of the following:</w:t>
            </w:r>
          </w:p>
          <w:p>
            <w:pPr>
              <w:keepNext w:val="0"/>
              <w:keepLines w:val="0"/>
              <w:widowControl/>
              <w:suppressLineNumbers w:val="0"/>
              <w:shd w:val="clear" w:fill="FFFFFF"/>
              <w:ind w:left="0" w:firstLine="0"/>
              <w:jc w:val="left"/>
              <w:rPr>
                <w:rFonts w:hint="default" w:ascii="Arial" w:hAnsi="Arial" w:eastAsia="Arial" w:cs="Arial"/>
                <w:i w:val="0"/>
                <w:iCs w:val="0"/>
                <w:caps w:val="0"/>
                <w:color w:val="333333"/>
                <w:spacing w:val="0"/>
                <w:sz w:val="24"/>
                <w:szCs w:val="24"/>
              </w:rPr>
            </w:pPr>
            <w:r>
              <w:rPr>
                <w:rFonts w:hint="default" w:ascii="Arial" w:hAnsi="Arial" w:eastAsia="Arial" w:cs="Arial"/>
                <w:i w:val="0"/>
                <w:iCs w:val="0"/>
                <w:caps w:val="0"/>
                <w:color w:val="333333"/>
                <w:spacing w:val="0"/>
                <w:kern w:val="0"/>
                <w:sz w:val="24"/>
                <w:szCs w:val="24"/>
                <w:shd w:val="clear" w:fill="FFFFFF"/>
                <w:lang w:val="en-US" w:eastAsia="zh-CN" w:bidi="ar"/>
              </w:rPr>
              <w:t>(a)</w:t>
            </w:r>
          </w:p>
          <w:p>
            <w:pPr>
              <w:pStyle w:val="6"/>
              <w:keepNext w:val="0"/>
              <w:keepLines w:val="0"/>
              <w:widowControl/>
              <w:suppressLineNumbers w:val="0"/>
            </w:pPr>
            <w:r>
              <w:rPr>
                <w:rFonts w:hint="default" w:ascii="Arial" w:hAnsi="Arial" w:eastAsia="Arial" w:cs="Arial"/>
                <w:i w:val="0"/>
                <w:iCs w:val="0"/>
                <w:caps w:val="0"/>
                <w:color w:val="333333"/>
                <w:spacing w:val="0"/>
                <w:sz w:val="24"/>
                <w:szCs w:val="24"/>
                <w:shd w:val="clear" w:fill="FFFFFF"/>
              </w:rPr>
              <w:t>AS 3700.</w:t>
            </w:r>
          </w:p>
          <w:p>
            <w:pPr>
              <w:keepNext w:val="0"/>
              <w:keepLines w:val="0"/>
              <w:widowControl/>
              <w:suppressLineNumbers w:val="0"/>
              <w:shd w:val="clear" w:fill="FFFFFF"/>
              <w:ind w:left="0" w:firstLine="0"/>
              <w:jc w:val="left"/>
              <w:rPr>
                <w:rFonts w:hint="default" w:ascii="Arial" w:hAnsi="Arial" w:eastAsia="Arial" w:cs="Arial"/>
                <w:i w:val="0"/>
                <w:iCs w:val="0"/>
                <w:caps w:val="0"/>
                <w:color w:val="333333"/>
                <w:spacing w:val="0"/>
                <w:sz w:val="24"/>
                <w:szCs w:val="24"/>
              </w:rPr>
            </w:pPr>
            <w:r>
              <w:rPr>
                <w:rFonts w:hint="default" w:ascii="Arial" w:hAnsi="Arial" w:eastAsia="Arial" w:cs="Arial"/>
                <w:i w:val="0"/>
                <w:iCs w:val="0"/>
                <w:caps w:val="0"/>
                <w:color w:val="333333"/>
                <w:spacing w:val="0"/>
                <w:kern w:val="0"/>
                <w:sz w:val="24"/>
                <w:szCs w:val="24"/>
                <w:shd w:val="clear" w:fill="FFFFFF"/>
                <w:lang w:val="en-US" w:eastAsia="zh-CN" w:bidi="ar"/>
              </w:rPr>
              <w:t>(b)</w:t>
            </w:r>
          </w:p>
          <w:p>
            <w:pPr>
              <w:pStyle w:val="6"/>
              <w:keepNext w:val="0"/>
              <w:keepLines w:val="0"/>
              <w:widowControl/>
              <w:suppressLineNumbers w:val="0"/>
            </w:pPr>
            <w:r>
              <w:rPr>
                <w:rFonts w:hint="default" w:ascii="Arial" w:hAnsi="Arial" w:eastAsia="Arial" w:cs="Arial"/>
                <w:i w:val="0"/>
                <w:iCs w:val="0"/>
                <w:caps w:val="0"/>
                <w:color w:val="333333"/>
                <w:spacing w:val="0"/>
                <w:sz w:val="24"/>
                <w:szCs w:val="24"/>
                <w:shd w:val="clear" w:fill="FFFFFF"/>
              </w:rPr>
              <w:t>AS 4773.1 and AS 4773.2.</w:t>
            </w:r>
          </w:p>
          <w:p>
            <w:pPr>
              <w:spacing w:before="144" w:beforeLines="60" w:after="144" w:afterLines="60" w:line="276" w:lineRule="auto"/>
              <w:rPr>
                <w:rFonts w:ascii="Arial" w:hAnsi="Arial" w:eastAsia="Times New Roman" w:cs="Arial"/>
                <w:bCs/>
                <w:color w:val="000000"/>
                <w:sz w:val="20"/>
                <w:szCs w:val="20"/>
              </w:rPr>
            </w:pP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Moisture Barrier</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 building is to be constructed to provide resistance to moisture from the outside and moisture rising from the ground.</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For cavity masonry, the clear width of a cavity between the inner and outer masonry leaves must not be—less than 35 mm; andmore than 75 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default" w:ascii="Arial" w:hAnsi="Arial" w:eastAsia="宋体" w:cs="Arial"/>
                <w:bCs/>
                <w:color w:val="000000"/>
                <w:sz w:val="20"/>
                <w:szCs w:val="20"/>
                <w:lang w:val="en-US" w:eastAsia="zh-CN"/>
              </w:rPr>
              <w:t xml:space="preserve">A waterproof coating material must be applied to all external single skin masonry walls </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default" w:ascii="Arial" w:hAnsi="Arial" w:eastAsia="宋体" w:cs="Arial"/>
                <w:bCs/>
                <w:color w:val="000000"/>
                <w:sz w:val="20"/>
                <w:szCs w:val="20"/>
                <w:lang w:val="en-US" w:eastAsia="zh-CN"/>
              </w:rPr>
              <w:t>one complete coat of cement based paint and two coats of 100% acrylic based exterior quality gloss pain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Framing/Structure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Framing/Structure</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Framing</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Diagrams depicting framing members and associated terminology used to describe them are set out in Figures H1D6c, H1D6d and H1D6e, and in most cases are applicable for both steel and timber frame members.</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Design of timber structures: AS 1720.1.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Timber </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Design of timber structures: AS 1720.1.Design of nailplated timber roof trusses: AS 1720.5.Residential timber-framed construction – non-cyclonic areas: AS 1684.2 or AS 1684.4.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Roof and Wall Cladding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Roof and wall cladding</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5"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Roof and wall cladding</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Roof tiles and hip, ridge, barge and capping tiles must be fixed in accordance with Table 7.3.2 and Figure 7.3.2a, Figure 7.3.2b, Figure 7.3.2c, Figure 7.3.2d and Figure 7.3.2e.</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Flexible pointing material complying with AS 2050.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5"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 xml:space="preserve">Tile </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Galvanized clout nails with a minimum diameter of 2.8 mm and of a length so that the nail will penetrate not less than 15 mm into the batten.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Glazing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Glazing</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Glazing</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Glazing used in buildings must comply with the following:Glazing used in the perimeter of buildings and supported on all sides must comply with the appropriate provisions listed in 8.3.3.Glazing used in areas where the potential for human impact could occur must comply with the appropriate provisions listed in Part 8.4.For 3 mm monolithic annealed glass, the maximum area must not be more than 0.85 m2.</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designed and constructed in accordance with AS 2047 for glazed assemblies in an external wall including—windows, other than those listed in (2); andsliding and swinging glazed doors with a frame, including French and bi-fold doors with a frame; andadjustable louvres; andwindow walls with one-piece framing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宋体" w:cs="Arial"/>
                <w:bCs/>
                <w:color w:val="000000"/>
                <w:sz w:val="20"/>
                <w:szCs w:val="20"/>
                <w:lang w:val="en-US" w:eastAsia="zh-CN"/>
              </w:rPr>
              <w:t>Aluminum windows with 1300x10mm timber reviewed ith 4mm glass</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Structural building loads must not be transferred to the window assembly.A minimum 10 mm gap must be provided between the top of the window assembly and any loadbearing framing or masonry wall element.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Fire Safety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Fire Safety</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Fire Safety</w:t>
            </w:r>
          </w:p>
        </w:tc>
        <w:tc>
          <w:tcPr>
            <w:tcW w:w="5528" w:type="dxa"/>
            <w:gridSpan w:val="2"/>
            <w:shd w:val="clear" w:color="auto" w:fill="auto"/>
            <w:vAlign w:val="top"/>
          </w:tcPr>
          <w:p>
            <w:pPr>
              <w:spacing w:before="144" w:beforeLines="60" w:after="144" w:afterLines="60" w:line="276" w:lineRule="auto"/>
              <w:rPr>
                <w:rFonts w:hint="eastAsia" w:ascii="Arial" w:hAnsi="Arial" w:eastAsia="Times New Roman" w:cs="Arial"/>
                <w:bCs/>
                <w:color w:val="000000"/>
                <w:sz w:val="20"/>
                <w:szCs w:val="20"/>
                <w:lang w:val="en-AU" w:eastAsia="en-US" w:bidi="ar-SA"/>
              </w:rPr>
            </w:pPr>
            <w:r>
              <w:rPr>
                <w:rFonts w:hint="eastAsia" w:ascii="Arial" w:hAnsi="Arial" w:eastAsia="Times New Roman" w:cs="Arial"/>
                <w:bCs/>
                <w:color w:val="000000"/>
                <w:sz w:val="20"/>
                <w:szCs w:val="20"/>
              </w:rPr>
              <w:t>Where a wall within a specified distance is required to comply with 9.2.3, only that part of the wall (including any openings) within the specified distance need be constructed in that manner (see Figure 9.2.2a, Figure 9.2.2b and Figure 9.2.2c).</w:t>
            </w:r>
          </w:p>
        </w:tc>
        <w:tc>
          <w:tcPr>
            <w:tcW w:w="5812" w:type="dxa"/>
            <w:shd w:val="clear" w:color="auto" w:fill="auto"/>
            <w:vAlign w:val="top"/>
          </w:tcPr>
          <w:p>
            <w:pPr>
              <w:spacing w:before="144" w:beforeLines="60" w:after="144" w:afterLines="60" w:line="276" w:lineRule="auto"/>
              <w:rPr>
                <w:rFonts w:ascii="Arial" w:hAnsi="Arial" w:eastAsia="Times New Roman" w:cs="Arial"/>
                <w:bCs/>
                <w:color w:val="000000"/>
                <w:sz w:val="20"/>
                <w:szCs w:val="20"/>
                <w:lang w:val="en-AU" w:eastAsia="en-US" w:bidi="ar-SA"/>
              </w:rPr>
            </w:pPr>
            <w:r>
              <w:rPr>
                <w:rFonts w:hint="eastAsia" w:ascii="Arial" w:hAnsi="Arial" w:eastAsia="Times New Roman" w:cs="Arial"/>
                <w:bCs/>
                <w:color w:val="000000"/>
                <w:sz w:val="20"/>
                <w:szCs w:val="20"/>
              </w:rPr>
              <w:t>An external wall (including a gable) required to be fire-resisting (referred to in 9.2.1 or 9.2.4) must—commence at the footings or ground slab, except where the external wall commences above a separating wall complying with 9.3.1 (see Figure 9.2.2e); andextend to—the underside of a non-combustible roof covering, except that a wall may terminate not more than 200 mm from the underside of a non-combustible roof covering, where the area between the external wall and underside of the roof covering is sealed with a non-combustible fascia, gutter or flashing; orthe underside of a non-combustible eaves lining (See Figures 9.2.3a and b); andbe constructed in accordance with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Cs/>
                <w:color w:val="000000"/>
                <w:sz w:val="20"/>
                <w:szCs w:val="20"/>
              </w:rPr>
            </w:pPr>
          </w:p>
        </w:tc>
        <w:tc>
          <w:tcPr>
            <w:tcW w:w="5528" w:type="dxa"/>
            <w:gridSpan w:val="2"/>
            <w:shd w:val="clear" w:color="auto" w:fill="auto"/>
            <w:vAlign w:val="top"/>
          </w:tcPr>
          <w:p>
            <w:pPr>
              <w:spacing w:before="144" w:beforeLines="60" w:after="144" w:afterLines="60" w:line="276" w:lineRule="auto"/>
              <w:rPr>
                <w:rFonts w:ascii="Arial" w:hAnsi="Arial" w:eastAsia="Times New Roman" w:cs="Arial"/>
                <w:bCs/>
                <w:color w:val="000000"/>
                <w:sz w:val="20"/>
                <w:szCs w:val="20"/>
                <w:lang w:val="en-AU" w:eastAsia="en-US" w:bidi="ar-SA"/>
              </w:rPr>
            </w:pPr>
            <w:r>
              <w:rPr>
                <w:rFonts w:hint="eastAsia" w:ascii="Arial" w:hAnsi="Arial" w:eastAsia="Times New Roman" w:cs="Arial"/>
                <w:bCs/>
                <w:color w:val="000000"/>
                <w:sz w:val="20"/>
                <w:szCs w:val="20"/>
              </w:rPr>
              <w:t>Where the distance measured is between attached or detached buildings of different heights, the distance must be taken from the external wall with the highest elevation measured at right angles to a point that intersects the nearest part of a vertical projection above the adjacent building, excluding any eave overhang (see Figure 9.2.2d and Figure 9.2.2e).</w:t>
            </w:r>
          </w:p>
        </w:tc>
        <w:tc>
          <w:tcPr>
            <w:tcW w:w="5812" w:type="dxa"/>
            <w:shd w:val="clear" w:color="auto" w:fill="auto"/>
            <w:vAlign w:val="top"/>
          </w:tcPr>
          <w:p>
            <w:pPr>
              <w:spacing w:before="144" w:beforeLines="60" w:after="144" w:afterLines="60" w:line="276" w:lineRule="auto"/>
              <w:rPr>
                <w:rFonts w:ascii="Arial" w:hAnsi="Arial" w:eastAsia="Times New Roman" w:cs="Arial"/>
                <w:bCs/>
                <w:color w:val="000000"/>
                <w:sz w:val="20"/>
                <w:szCs w:val="20"/>
                <w:lang w:val="en-AU" w:eastAsia="en-US" w:bidi="ar-SA"/>
              </w:rPr>
            </w:pPr>
            <w:r>
              <w:rPr>
                <w:rFonts w:hint="eastAsia" w:ascii="Arial" w:hAnsi="Arial" w:eastAsia="Times New Roman" w:cs="Arial"/>
                <w:bCs/>
                <w:color w:val="000000"/>
                <w:sz w:val="20"/>
                <w:szCs w:val="20"/>
              </w:rPr>
              <w:t>2)A wall required by (1) must—have an FRL of not less than 60/60/60 when tested from the outside; orbe of masonry-veneer construction in which the external masonry veneer is not less than 90 mm thick; orbe of masonry construction not less than 90 mm thick.(3)Openings in external walls required to be fire-resisting (referred to in 9.2.1 or 9.2.4) must be protected by—non-openable fire windows or other construction with an FRL of not less than –/60/–; orself-closing solid core doors not less than 35 mm thick.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Cs/>
                <w:color w:val="000000"/>
                <w:sz w:val="20"/>
                <w:szCs w:val="20"/>
              </w:rPr>
            </w:pP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An external wall of a Class 1 building, and any openings in that wall, must comply with 9.2.3 if the wall is less than—900 mm from an allotment boundary other than the boundary adjoining a road alignment or other public space; or1.8 m from another building on the same allotment other than a Class 10 building associated with the Class 1 building or a detached part of the same Class 1 building.</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The requirements of (3) do not apply to a window in a non-habitable room that is located adjacent to and not less than 600 mm from the boundary of an adjoining allotment or 1.2 m from another building on the same allotment provided that—in a bathroom, laundry or toilet, the opening has an area of not more than 1.2 m2; orin a room other than one referred to in (a), the opening has an area of not more than 0.54 m2 and—the window is steel-framed, there are no opening sashes and it is glazed in wired glass; orthe opening is enclosed with translucent hollow glass blocks.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Access/Stairs/Lifts/Ramps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Access/Stairs/Lifts/Ramps</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Access</w:t>
            </w:r>
          </w:p>
        </w:tc>
        <w:tc>
          <w:tcPr>
            <w:tcW w:w="5528" w:type="dxa"/>
            <w:gridSpan w:val="2"/>
            <w:shd w:val="clear" w:color="auto" w:fill="auto"/>
            <w:vAlign w:val="top"/>
          </w:tcPr>
          <w:p>
            <w:pPr>
              <w:spacing w:before="144" w:beforeLines="60" w:after="144" w:afterLines="60" w:line="276" w:lineRule="auto"/>
              <w:rPr>
                <w:rFonts w:ascii="Arial" w:hAnsi="Arial" w:eastAsia="Times New Roman" w:cs="Arial"/>
                <w:bCs/>
                <w:color w:val="000000"/>
                <w:sz w:val="20"/>
                <w:szCs w:val="20"/>
                <w:lang w:val="en-AU" w:eastAsia="en-US" w:bidi="ar-SA"/>
              </w:rPr>
            </w:pPr>
            <w:r>
              <w:rPr>
                <w:rFonts w:hint="eastAsia" w:ascii="Arial" w:hAnsi="Arial" w:eastAsia="Times New Roman" w:cs="Arial"/>
                <w:bCs/>
                <w:color w:val="000000"/>
                <w:sz w:val="20"/>
                <w:szCs w:val="20"/>
              </w:rPr>
              <w:t>Landings must—be not less than 750 mm long and where this involves a change in direction, the length is measured 500 mm from the inside edge of the landing (see Figure 11.2.5a); andhave a gradient not steeper than 1:50; andbe provided where the sill of a threshold of a doorway opens onto a stairway or ramp that provides a change in floor level or floor to ground level greater than 3 risers or 570 mm (see Figure 11.2.5b); andextend across the full width of a doorway.</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Special order from supplier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Cs/>
                <w:color w:val="000000"/>
                <w:sz w:val="20"/>
                <w:szCs w:val="20"/>
              </w:rPr>
            </w:pPr>
          </w:p>
        </w:tc>
        <w:tc>
          <w:tcPr>
            <w:tcW w:w="5528" w:type="dxa"/>
            <w:gridSpan w:val="2"/>
            <w:shd w:val="clear" w:color="auto" w:fill="auto"/>
            <w:vAlign w:val="top"/>
          </w:tcPr>
          <w:p>
            <w:pPr>
              <w:spacing w:before="144" w:beforeLines="60" w:after="144" w:afterLines="60" w:line="276" w:lineRule="auto"/>
              <w:rPr>
                <w:rFonts w:ascii="Arial" w:hAnsi="Arial" w:eastAsia="Times New Roman" w:cs="Arial"/>
                <w:bCs/>
                <w:color w:val="000000"/>
                <w:sz w:val="20"/>
                <w:szCs w:val="20"/>
                <w:lang w:val="en-AU" w:eastAsia="en-US" w:bidi="ar-SA"/>
              </w:rPr>
            </w:pPr>
            <w:r>
              <w:rPr>
                <w:rFonts w:hint="eastAsia" w:ascii="Arial" w:hAnsi="Arial" w:eastAsia="Times New Roman" w:cs="Arial"/>
                <w:bCs/>
                <w:color w:val="000000"/>
                <w:sz w:val="20"/>
                <w:szCs w:val="20"/>
              </w:rPr>
              <w:t>Landings, where the edge leads to the flight below, must have—a surface with a slip-resistance classification not less than that listed in Table 11.2.4 when tested in accordance with AS 4586, for not less than 190 mm from the stair nosing; ora nosing strip with a slip-resistance classification not less than that listed in Table 11.2.4 when tested in accordance with AS 4586.</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Materials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宋体" w:cs="Arial"/>
                <w:bCs/>
                <w:color w:val="000000"/>
                <w:sz w:val="20"/>
                <w:szCs w:val="20"/>
                <w:lang w:val="en-US" w:eastAsia="zh-CN"/>
              </w:rPr>
              <w:t xml:space="preserve">Aluminum landing with anti-slip treatment </w:t>
            </w:r>
          </w:p>
        </w:tc>
        <w:tc>
          <w:tcPr>
            <w:tcW w:w="5812" w:type="dxa"/>
            <w:shd w:val="clear" w:color="auto" w:fill="auto"/>
          </w:tcPr>
          <w:p>
            <w:pPr>
              <w:spacing w:before="144" w:beforeLines="60" w:after="144" w:afterLines="60" w:line="276" w:lineRule="auto"/>
              <w:rPr>
                <w:rFonts w:hint="default" w:ascii="Arial" w:hAnsi="Arial" w:eastAsia="宋体" w:cs="Arial"/>
                <w:bCs/>
                <w:color w:val="000000"/>
                <w:sz w:val="20"/>
                <w:szCs w:val="20"/>
                <w:lang w:val="en-US" w:eastAsia="zh-CN"/>
              </w:rPr>
            </w:pPr>
            <w:r>
              <w:rPr>
                <w:rFonts w:hint="eastAsia" w:ascii="Arial" w:hAnsi="Arial" w:eastAsia="宋体" w:cs="Arial"/>
                <w:bCs/>
                <w:color w:val="000000"/>
                <w:sz w:val="20"/>
                <w:szCs w:val="20"/>
                <w:lang w:val="en-US" w:eastAsia="zh-CN"/>
              </w:rPr>
              <w:t>Special order from supplier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Ancillary Provisions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2747"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Ancillary Provisions</w:t>
            </w:r>
          </w:p>
        </w:tc>
        <w:tc>
          <w:tcPr>
            <w:tcW w:w="5528" w:type="dxa"/>
            <w:gridSpan w:val="2"/>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Construction in alpine areas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External doors that may be subject to a build-up of snow must—open inwards or slide; andbe constructed so that the threshold is not less than 900 mm above the adjoining surface; andin a Class 1b building, be marked “OPEN INWARDS” on the inside face of the door in letters not less than 75 mm high and in a colour contrasting with that of the background.</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 xml:space="preserve"> marked “OPEN INWARDS” on the inside face of the door in letters not less than 75 mm high and in a colour contrasting with that of the background.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 xml:space="preserve"> Attachment of framed decks and balconies to external walls of buildings using a waling plate</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Where a deck or balcony relies on the external wall of a building or structure for support, the method of attachment, including any fixings, to the external wall must comply with the following:The deck or balcony’s joist framing members must be supported at the wall by a waling plate.The joist span nearest the external wall must not be more than 3 m (single or continuous span).</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Flashings must be provided to bottom, tops and the sides of the junction of the waling plate and the external wall, and must be installed so that the flashing—extends not less than 150 mm beyond each side of the waling plate where practicable; andis attached to the waling plate and wall framing; andat the top and bottom of the waling plate, drains to the outside face of the wall or cladding.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Heating appliances, fireplaces, chimneys and flues</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An open fireplace, or solid-fuel burning appliance in which the fuel-burning compartment is not enclosed must have—all masonry constructed in accordance with H1D5; anda hearth constructed of stone, concrete, masonry or similar non-combustible material so that—it extends not less than 300 mm beyond the front of the fireplace opening and not less than 150 mm beyond each side of that opening; andits upper surface does not slope away from the back hearth (see Figure 12.4.2); andcombustible material, such as flooring or framing members below or around the external edge of the hearth, is situated not less than 150 mm from the upper surface of the hearth (see Figure 12.4.2); andwalls forming the sides and back of the fireplace up to a height of 300 mm above the underside of the arch or lintel which—are constructed in 2 separate leaves of solid masonry with a total combined thickness not less than 180 mm, excluding any cavity; anddo not consist of concrete block masonry in the construction of the inner leaf; andare constructed of masonry units with a net volume, excluding cored and similar holes, not less than 75% of their gross volume, measured on the overall rectangular shape of the units, and with an actual thickness of not less than 100 mm; andthe fireplace must be constructed on footings complying with 4.2.18.OptionsImagesPrint ClauseSave ClauseCopy ClauseEmail</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An insert fireplace and flue must comply with the following:The insert fireplace and flue must be—tested and passed the tests required by AS/NZS 2918; andfitted into a masonry fireplace (including chimney) constructed in accordance with H1D5 and Figure 12.4.4.The flue must be double skin and have been tested and pass the tests required by AS/NZS 2918.There must be a clearance of 50 mm between the outer flue and adjacent materials.The flue must terminate in accordance with Figure 12.4.3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Energy Efficiency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2747"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Energy Efficiency</w:t>
            </w:r>
          </w:p>
        </w:tc>
        <w:tc>
          <w:tcPr>
            <w:tcW w:w="5528" w:type="dxa"/>
            <w:gridSpan w:val="2"/>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NCC / Australian Standards requirements</w:t>
            </w:r>
          </w:p>
        </w:tc>
        <w:tc>
          <w:tcPr>
            <w:tcW w:w="5812" w:type="dxa"/>
            <w:shd w:val="clear" w:color="auto" w:fill="auto"/>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Compliant Performance solution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Building fabric thermal insulation</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abuts or overlaps adjoining insulation other than at supporting members such as columns, studs, noggings, joists, furring channels and the like where the insulation must butt against the member; andforms a continuous barrier with ceilings, walls, bulkheads, floors or the like that inherently contribute to the thermal barrier; anddoes not affect the safe or effective operation of a domestic service or fitting.</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宋体" w:cs="Arial"/>
                <w:bCs/>
                <w:color w:val="000000"/>
                <w:sz w:val="20"/>
                <w:szCs w:val="20"/>
                <w:lang w:val="en-US" w:eastAsia="zh-CN"/>
              </w:rPr>
              <w:t>Insert insulation before gyorock installation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宋体" w:cs="Arial"/>
                <w:bCs/>
                <w:color w:val="000000"/>
                <w:sz w:val="20"/>
                <w:szCs w:val="20"/>
                <w:lang w:val="en-US" w:eastAsia="zh-CN"/>
              </w:rPr>
              <w:t>Exhaust fan</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An exhaust fan must be fitted with a sealing device such as a self-closing damper, filter or the like when serving—a conditioned space; ora habitable room in climate zones 4, 5, 6, 7 and 8.</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宋体" w:cs="Arial"/>
                <w:bCs/>
                <w:color w:val="000000"/>
                <w:sz w:val="20"/>
                <w:szCs w:val="20"/>
                <w:lang w:val="en-US" w:eastAsia="zh-CN"/>
              </w:rPr>
              <w:t xml:space="preserve">Install two of exhaust fan with sika seal finished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2747"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宋体" w:cs="Arial"/>
                <w:bCs/>
                <w:color w:val="000000"/>
                <w:sz w:val="20"/>
                <w:szCs w:val="20"/>
                <w:lang w:val="en-US" w:eastAsia="zh-CN"/>
              </w:rPr>
              <w:t>Celling fan</w:t>
            </w:r>
          </w:p>
        </w:tc>
        <w:tc>
          <w:tcPr>
            <w:tcW w:w="5528" w:type="dxa"/>
            <w:gridSpan w:val="2"/>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Times New Roman" w:cs="Arial"/>
                <w:bCs/>
                <w:color w:val="000000"/>
                <w:sz w:val="20"/>
                <w:szCs w:val="20"/>
              </w:rPr>
              <w:t>Ceiling fans must be installed in accordance with Table 13.5.2 in—climate zones 1, 2 and 3; andclimate zone 5 in New South Wales and Queensland.</w:t>
            </w:r>
          </w:p>
        </w:tc>
        <w:tc>
          <w:tcPr>
            <w:tcW w:w="5812" w:type="dxa"/>
            <w:shd w:val="clear" w:color="auto" w:fill="auto"/>
          </w:tcPr>
          <w:p>
            <w:pPr>
              <w:spacing w:before="144" w:beforeLines="60" w:after="144" w:afterLines="60" w:line="276" w:lineRule="auto"/>
              <w:rPr>
                <w:rFonts w:ascii="Arial" w:hAnsi="Arial" w:eastAsia="Times New Roman" w:cs="Arial"/>
                <w:bCs/>
                <w:color w:val="000000"/>
                <w:sz w:val="20"/>
                <w:szCs w:val="20"/>
              </w:rPr>
            </w:pPr>
            <w:r>
              <w:rPr>
                <w:rFonts w:hint="eastAsia" w:ascii="Arial" w:hAnsi="Arial" w:eastAsia="宋体" w:cs="Arial"/>
                <w:bCs/>
                <w:color w:val="000000"/>
                <w:sz w:val="20"/>
                <w:szCs w:val="20"/>
                <w:lang w:val="en-US" w:eastAsia="zh-CN"/>
              </w:rPr>
              <w:t>Remove one down light and instead of celling fan with remote control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4087" w:type="dxa"/>
            <w:gridSpan w:val="4"/>
            <w:shd w:val="clear" w:color="auto" w:fill="D8D8D8" w:themeFill="background1" w:themeFillShade="D9"/>
          </w:tcPr>
          <w:p>
            <w:pPr>
              <w:spacing w:before="144" w:beforeLines="60" w:after="144" w:afterLines="60" w:line="276" w:lineRule="auto"/>
              <w:rPr>
                <w:rFonts w:ascii="Arial" w:hAnsi="Arial" w:eastAsia="Times New Roman" w:cs="Arial"/>
                <w:b/>
                <w:color w:val="000000"/>
                <w:sz w:val="20"/>
                <w:szCs w:val="20"/>
              </w:rPr>
            </w:pPr>
            <w:r>
              <w:rPr>
                <w:rFonts w:ascii="Arial" w:hAnsi="Arial" w:eastAsia="Times New Roman" w:cs="Arial"/>
                <w:b/>
                <w:color w:val="000000"/>
                <w:sz w:val="20"/>
                <w:szCs w:val="20"/>
              </w:rPr>
              <w:t>Health and Safety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4" w:hRule="atLeast"/>
        </w:trPr>
        <w:tc>
          <w:tcPr>
            <w:tcW w:w="14087" w:type="dxa"/>
            <w:gridSpan w:val="4"/>
            <w:shd w:val="clear" w:color="auto" w:fill="auto"/>
          </w:tcPr>
          <w:p>
            <w:pPr>
              <w:pStyle w:val="2"/>
              <w:jc w:val="both"/>
              <w:rPr>
                <w:lang w:val="en-AU"/>
              </w:rPr>
            </w:pPr>
            <w:r>
              <w:rPr>
                <w:lang w:val="en-AU"/>
              </w:rPr>
              <w:t>Field Standard Safety Clothing and Equipment Policy</w:t>
            </w:r>
          </w:p>
          <w:p>
            <w:pPr>
              <w:rPr>
                <w:lang w:val="en-AU"/>
              </w:rPr>
            </w:pPr>
            <w:r>
              <w:rPr>
                <w:lang w:val="en-AU"/>
              </w:rPr>
              <w:t>Cascade Peak Construction puts the safety of its workers before everything else. All workers, therefore, are expected to wear the following safety clothing and have the following equipment within easy reach depending on where they are.</w:t>
            </w:r>
          </w:p>
          <w:p>
            <w:pPr>
              <w:pStyle w:val="2"/>
              <w:jc w:val="both"/>
              <w:rPr>
                <w:lang w:val="en-AU"/>
              </w:rPr>
            </w:pPr>
            <w:r>
              <w:rPr>
                <w:lang w:val="en-AU"/>
              </w:rPr>
              <w:t>Field Standard Safety Clothing and Equipment Procedures</w:t>
            </w:r>
          </w:p>
          <w:p>
            <w:pPr>
              <w:rPr>
                <w:lang w:val="en-AU"/>
              </w:rPr>
            </w:pPr>
            <w:r>
              <w:rPr>
                <w:lang w:val="en-AU"/>
              </w:rPr>
              <w:t>All workers must wear the following safety clothing and have the following equipment within easy reach:</w:t>
            </w:r>
          </w:p>
          <w:p>
            <w:pPr>
              <w:pStyle w:val="3"/>
            </w:pPr>
            <w:r>
              <w:t>All Tasks</w:t>
            </w:r>
          </w:p>
          <w:p>
            <w:pPr>
              <w:pStyle w:val="14"/>
              <w:numPr>
                <w:ilvl w:val="0"/>
                <w:numId w:val="1"/>
              </w:numPr>
              <w:contextualSpacing w:val="0"/>
            </w:pPr>
            <w:r>
              <w:t>Steel Cap Footwear (boots) – at discretion of safety officer</w:t>
            </w:r>
          </w:p>
          <w:p>
            <w:pPr>
              <w:pStyle w:val="14"/>
              <w:numPr>
                <w:ilvl w:val="0"/>
                <w:numId w:val="1"/>
              </w:numPr>
              <w:contextualSpacing w:val="0"/>
            </w:pPr>
            <w:r>
              <w:t>Wide Brim Hat</w:t>
            </w:r>
          </w:p>
          <w:p>
            <w:pPr>
              <w:pStyle w:val="14"/>
              <w:numPr>
                <w:ilvl w:val="0"/>
                <w:numId w:val="1"/>
              </w:numPr>
              <w:contextualSpacing w:val="0"/>
            </w:pPr>
            <w:r>
              <w:t>UV protection sunscreen (supplied)</w:t>
            </w:r>
          </w:p>
          <w:p>
            <w:pPr>
              <w:pStyle w:val="14"/>
              <w:numPr>
                <w:ilvl w:val="0"/>
                <w:numId w:val="1"/>
              </w:numPr>
              <w:contextualSpacing w:val="0"/>
            </w:pPr>
            <w:r>
              <w:t>Long sleeve shirts buttoned or affixed at wrist.</w:t>
            </w:r>
          </w:p>
          <w:p>
            <w:pPr>
              <w:pStyle w:val="14"/>
              <w:numPr>
                <w:ilvl w:val="0"/>
                <w:numId w:val="1"/>
              </w:numPr>
              <w:contextualSpacing w:val="0"/>
            </w:pPr>
            <w:r>
              <w:t xml:space="preserve">Collared shirts </w:t>
            </w:r>
          </w:p>
          <w:p>
            <w:pPr>
              <w:pStyle w:val="3"/>
            </w:pPr>
            <w:r>
              <w:t>Rural Work – Field</w:t>
            </w:r>
          </w:p>
          <w:p>
            <w:pPr>
              <w:pStyle w:val="14"/>
              <w:numPr>
                <w:ilvl w:val="0"/>
                <w:numId w:val="2"/>
              </w:numPr>
              <w:contextualSpacing w:val="0"/>
            </w:pPr>
            <w:r>
              <w:t>Long Sleeved Shirts</w:t>
            </w:r>
          </w:p>
          <w:p>
            <w:pPr>
              <w:pStyle w:val="14"/>
              <w:numPr>
                <w:ilvl w:val="0"/>
                <w:numId w:val="2"/>
              </w:numPr>
              <w:contextualSpacing w:val="0"/>
            </w:pPr>
            <w:r>
              <w:t>Long Pants</w:t>
            </w:r>
          </w:p>
          <w:p>
            <w:pPr>
              <w:pStyle w:val="14"/>
              <w:numPr>
                <w:ilvl w:val="0"/>
                <w:numId w:val="2"/>
              </w:numPr>
              <w:contextualSpacing w:val="0"/>
            </w:pPr>
            <w:r>
              <w:t>Gaiters where suitable</w:t>
            </w:r>
          </w:p>
          <w:p>
            <w:pPr>
              <w:pStyle w:val="3"/>
            </w:pPr>
            <w:r>
              <w:t>Roads and Areas around Natural Rock Faces – Field</w:t>
            </w:r>
          </w:p>
          <w:p>
            <w:pPr>
              <w:pStyle w:val="14"/>
              <w:numPr>
                <w:ilvl w:val="0"/>
                <w:numId w:val="2"/>
              </w:numPr>
              <w:contextualSpacing w:val="0"/>
            </w:pPr>
            <w:r>
              <w:t>Hard Hats and highly visible (orange) vests to be worn.</w:t>
            </w:r>
          </w:p>
          <w:p>
            <w:pPr>
              <w:pStyle w:val="3"/>
            </w:pPr>
            <w:r>
              <w:t>Remote Projects</w:t>
            </w:r>
          </w:p>
          <w:p>
            <w:pPr>
              <w:pStyle w:val="14"/>
              <w:numPr>
                <w:ilvl w:val="0"/>
                <w:numId w:val="3"/>
              </w:numPr>
              <w:contextualSpacing w:val="0"/>
            </w:pPr>
            <w:r>
              <w:t>EPIRB (distress radio beacon) to be carried by Party Member</w:t>
            </w:r>
          </w:p>
          <w:p>
            <w:pPr>
              <w:pStyle w:val="14"/>
              <w:numPr>
                <w:ilvl w:val="0"/>
                <w:numId w:val="3"/>
              </w:numPr>
              <w:contextualSpacing w:val="0"/>
            </w:pPr>
            <w:r>
              <w:t>Safety Equipment</w:t>
            </w:r>
          </w:p>
          <w:p>
            <w:pPr>
              <w:pStyle w:val="3"/>
            </w:pPr>
            <w:r>
              <w:t>Office</w:t>
            </w:r>
          </w:p>
          <w:p>
            <w:pPr>
              <w:pStyle w:val="14"/>
              <w:numPr>
                <w:ilvl w:val="0"/>
                <w:numId w:val="2"/>
              </w:numPr>
              <w:contextualSpacing w:val="0"/>
            </w:pPr>
            <w:r>
              <w:t>Fire Extinguishers as required by legislation</w:t>
            </w:r>
          </w:p>
          <w:p>
            <w:pPr>
              <w:pStyle w:val="14"/>
              <w:numPr>
                <w:ilvl w:val="0"/>
                <w:numId w:val="2"/>
              </w:numPr>
              <w:contextualSpacing w:val="0"/>
            </w:pPr>
            <w:r>
              <w:t>Comprehensive First Aid Kits</w:t>
            </w:r>
          </w:p>
          <w:p>
            <w:pPr>
              <w:pStyle w:val="3"/>
            </w:pPr>
            <w:r>
              <w:t>Depot</w:t>
            </w:r>
          </w:p>
          <w:p>
            <w:pPr>
              <w:pStyle w:val="14"/>
              <w:numPr>
                <w:ilvl w:val="0"/>
                <w:numId w:val="2"/>
              </w:numPr>
              <w:contextualSpacing w:val="0"/>
            </w:pPr>
            <w:r>
              <w:t>Fire Extinguishers</w:t>
            </w:r>
          </w:p>
          <w:p>
            <w:pPr>
              <w:pStyle w:val="14"/>
              <w:numPr>
                <w:ilvl w:val="0"/>
                <w:numId w:val="2"/>
              </w:numPr>
              <w:contextualSpacing w:val="0"/>
            </w:pPr>
            <w:r>
              <w:t>Comprehensive First Aid Kit</w:t>
            </w:r>
          </w:p>
          <w:p>
            <w:pPr>
              <w:pStyle w:val="14"/>
              <w:numPr>
                <w:ilvl w:val="0"/>
                <w:numId w:val="2"/>
              </w:numPr>
              <w:contextualSpacing w:val="0"/>
            </w:pPr>
            <w:r>
              <w:t>Surveyor on Road Signs</w:t>
            </w:r>
          </w:p>
          <w:p>
            <w:pPr>
              <w:pStyle w:val="3"/>
            </w:pPr>
            <w:r>
              <w:t>All Vehicles</w:t>
            </w:r>
          </w:p>
          <w:p>
            <w:pPr>
              <w:pStyle w:val="14"/>
              <w:numPr>
                <w:ilvl w:val="0"/>
                <w:numId w:val="2"/>
              </w:numPr>
              <w:contextualSpacing w:val="0"/>
            </w:pPr>
            <w:r>
              <w:t>Comprehensive Fire Extinguishers</w:t>
            </w:r>
          </w:p>
          <w:p>
            <w:pPr>
              <w:pStyle w:val="14"/>
              <w:numPr>
                <w:ilvl w:val="0"/>
                <w:numId w:val="2"/>
              </w:numPr>
              <w:contextualSpacing w:val="0"/>
            </w:pPr>
            <w:r>
              <w:t>High Visibility orange jackets</w:t>
            </w:r>
          </w:p>
          <w:p>
            <w:pPr>
              <w:pStyle w:val="3"/>
            </w:pPr>
            <w:r>
              <w:t>Vehicles Working on Commercial or Wilderness Sites</w:t>
            </w:r>
          </w:p>
          <w:p>
            <w:pPr>
              <w:pStyle w:val="14"/>
              <w:numPr>
                <w:ilvl w:val="0"/>
                <w:numId w:val="2"/>
              </w:numPr>
              <w:contextualSpacing w:val="0"/>
            </w:pPr>
            <w:r>
              <w:t>Fire Extinguishers</w:t>
            </w:r>
          </w:p>
          <w:p>
            <w:pPr>
              <w:pStyle w:val="14"/>
              <w:numPr>
                <w:ilvl w:val="0"/>
                <w:numId w:val="2"/>
              </w:numPr>
              <w:contextualSpacing w:val="0"/>
            </w:pPr>
            <w:r>
              <w:t>Comprehensive First Aid Kit</w:t>
            </w:r>
          </w:p>
          <w:p>
            <w:pPr>
              <w:pStyle w:val="14"/>
              <w:numPr>
                <w:ilvl w:val="0"/>
                <w:numId w:val="2"/>
              </w:numPr>
              <w:contextualSpacing w:val="0"/>
            </w:pPr>
            <w:r>
              <w:t>High visibility orange jackets</w:t>
            </w:r>
          </w:p>
          <w:p>
            <w:pPr>
              <w:pStyle w:val="14"/>
              <w:numPr>
                <w:ilvl w:val="0"/>
                <w:numId w:val="2"/>
              </w:numPr>
              <w:contextualSpacing w:val="0"/>
            </w:pPr>
            <w:r>
              <w:t>EPIRB</w:t>
            </w:r>
          </w:p>
          <w:p>
            <w:pPr>
              <w:pStyle w:val="14"/>
              <w:numPr>
                <w:ilvl w:val="0"/>
                <w:numId w:val="2"/>
              </w:numPr>
              <w:contextualSpacing w:val="0"/>
            </w:pPr>
            <w:r>
              <w:t>Hard Hats</w:t>
            </w:r>
          </w:p>
          <w:p>
            <w:pPr>
              <w:pStyle w:val="14"/>
              <w:numPr>
                <w:ilvl w:val="0"/>
                <w:numId w:val="2"/>
              </w:numPr>
              <w:contextualSpacing w:val="0"/>
            </w:pPr>
            <w:r>
              <w:t>High Set Warning lights (mining &amp; construction only)</w:t>
            </w:r>
          </w:p>
          <w:p>
            <w:pPr>
              <w:pStyle w:val="14"/>
              <w:numPr>
                <w:ilvl w:val="0"/>
                <w:numId w:val="2"/>
              </w:numPr>
              <w:contextualSpacing w:val="0"/>
            </w:pPr>
            <w:r>
              <w:t>High set orange flashing light (mining &amp; construction only)</w:t>
            </w:r>
          </w:p>
          <w:p>
            <w:pPr>
              <w:pStyle w:val="14"/>
              <w:numPr>
                <w:ilvl w:val="0"/>
                <w:numId w:val="2"/>
              </w:numPr>
              <w:contextualSpacing w:val="0"/>
            </w:pPr>
            <w:r>
              <w:t>Surveyor on Road signs where required</w:t>
            </w:r>
          </w:p>
          <w:p>
            <w:pPr>
              <w:spacing w:before="144" w:beforeLines="60" w:after="144" w:afterLines="60" w:line="276" w:lineRule="auto"/>
              <w:rPr>
                <w:rFonts w:ascii="Arial" w:hAnsi="Arial" w:eastAsia="Times New Roman" w:cs="Arial"/>
                <w:bCs/>
                <w:color w:val="000000"/>
                <w:sz w:val="20"/>
                <w:szCs w:val="20"/>
              </w:rPr>
            </w:pPr>
          </w:p>
        </w:tc>
      </w:tr>
    </w:tbl>
    <w:p>
      <w:pPr>
        <w:rPr>
          <w:sz w:val="12"/>
          <w:szCs w:val="12"/>
        </w:rPr>
      </w:pPr>
    </w:p>
    <w:tbl>
      <w:tblPr>
        <w:tblStyle w:val="7"/>
        <w:tblW w:w="140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65"/>
        <w:gridCol w:w="2693"/>
        <w:gridCol w:w="2410"/>
        <w:gridCol w:w="2835"/>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4087" w:type="dxa"/>
            <w:gridSpan w:val="5"/>
            <w:shd w:val="clear" w:color="auto" w:fill="D8D8D8" w:themeFill="background1" w:themeFillShade="D9"/>
          </w:tcPr>
          <w:p>
            <w:pPr>
              <w:spacing w:before="144" w:beforeLines="60" w:after="144" w:afterLines="60" w:line="276" w:lineRule="auto"/>
              <w:jc w:val="both"/>
              <w:rPr>
                <w:rFonts w:ascii="Arial" w:hAnsi="Arial" w:eastAsia="Times New Roman" w:cs="Arial"/>
                <w:b/>
                <w:color w:val="000000"/>
                <w:sz w:val="20"/>
                <w:szCs w:val="20"/>
              </w:rPr>
            </w:pPr>
            <w:r>
              <w:rPr>
                <w:rFonts w:ascii="Arial" w:hAnsi="Arial" w:eastAsia="Times New Roman" w:cs="Arial"/>
                <w:b/>
                <w:color w:val="000000"/>
                <w:sz w:val="20"/>
                <w:szCs w:val="20"/>
              </w:rPr>
              <w:t>Consultation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14087" w:type="dxa"/>
            <w:gridSpan w:val="5"/>
            <w:shd w:val="clear" w:color="auto" w:fill="auto"/>
          </w:tcPr>
          <w:p>
            <w:r>
              <w:t>Always seek assistance when shifting office furniture or equipment.</w:t>
            </w:r>
          </w:p>
          <w:p>
            <w:r>
              <w:t>The use of power boards, double adaptors is only permissible following an inspection by a qualified electrician</w:t>
            </w:r>
          </w:p>
          <w:p>
            <w:r>
              <w:t>No employee can attempt to repair electrical equipment which malfunctions. Any malfunctioning office electrical equipment must be taken to a suitably qualified repairer.</w:t>
            </w:r>
          </w:p>
          <w:p>
            <w:r>
              <w:t>Electrical cords, connections and power points must be inspected annually by a qualified repairer.</w:t>
            </w:r>
          </w:p>
          <w:p>
            <w:r>
              <w:t>Air conditioning to be serviced annually by suitably qualified person.</w:t>
            </w:r>
          </w:p>
          <w:p>
            <w:r>
              <w:t>Register to be maintained of phone numbers and contact details of staff medical advisers, ambulance, police, etc.</w:t>
            </w:r>
          </w:p>
          <w:p>
            <w:pPr>
              <w:spacing w:before="144" w:beforeLines="60" w:after="144" w:afterLines="60" w:line="276" w:lineRule="auto"/>
              <w:jc w:val="both"/>
              <w:rPr>
                <w:rFonts w:ascii="Arial" w:hAnsi="Arial" w:eastAsia="Times New Roman" w:cs="Arial"/>
                <w:bCs/>
                <w:color w:val="000000"/>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4087" w:type="dxa"/>
            <w:gridSpan w:val="5"/>
            <w:shd w:val="clear" w:color="auto" w:fill="D8D8D8" w:themeFill="background1" w:themeFillShade="D9"/>
          </w:tcPr>
          <w:p>
            <w:pPr>
              <w:spacing w:before="144" w:beforeLines="60" w:after="144" w:afterLines="60" w:line="276" w:lineRule="auto"/>
              <w:rPr>
                <w:rFonts w:ascii="Arial" w:hAnsi="Arial" w:eastAsia="Times New Roman" w:cs="Arial"/>
                <w:b/>
                <w:sz w:val="20"/>
                <w:szCs w:val="20"/>
              </w:rPr>
            </w:pPr>
            <w:r>
              <w:rPr>
                <w:rFonts w:ascii="Arial" w:hAnsi="Arial" w:eastAsia="Times New Roman" w:cs="Arial"/>
                <w:b/>
                <w:sz w:val="20"/>
                <w:szCs w:val="20"/>
              </w:rPr>
              <w:t>Policies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9" w:hRule="atLeast"/>
        </w:trPr>
        <w:tc>
          <w:tcPr>
            <w:tcW w:w="14087" w:type="dxa"/>
            <w:gridSpan w:val="5"/>
            <w:shd w:val="clear" w:color="auto" w:fill="FFFFFF"/>
          </w:tcPr>
          <w:p>
            <w:pPr>
              <w:jc w:val="both"/>
              <w:rPr>
                <w:lang w:val="en-AU"/>
              </w:rPr>
            </w:pPr>
            <w:r>
              <w:rPr>
                <w:rFonts w:hint="eastAsia" w:eastAsia="宋体"/>
                <w:lang w:val="en-US" w:eastAsia="zh-CN"/>
              </w:rPr>
              <w:t xml:space="preserve">Dawn </w:t>
            </w:r>
            <w:r>
              <w:rPr>
                <w:lang w:val="en-AU"/>
              </w:rPr>
              <w:t>Construction Pty Ltd is committed to creating a workplace environment that is conducive to safety as well as to productivity. To achieve this aim, management and employees will comply with all relevant legislation and safety regulations that are in force both in the office and in the client’s work environments.</w:t>
            </w:r>
          </w:p>
          <w:p>
            <w:pPr>
              <w:spacing w:before="144" w:beforeLines="60" w:after="144" w:afterLines="60" w:line="276" w:lineRule="auto"/>
              <w:rPr>
                <w:rFonts w:ascii="Arial" w:hAnsi="Arial" w:eastAsia="Times New Roman" w:cs="Arial"/>
                <w:bCs/>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4087" w:type="dxa"/>
            <w:gridSpan w:val="5"/>
            <w:shd w:val="clear" w:color="auto" w:fill="D8D8D8" w:themeFill="background1" w:themeFillShade="D9"/>
          </w:tcPr>
          <w:p>
            <w:pPr>
              <w:spacing w:before="144" w:beforeLines="60" w:after="144" w:afterLines="60" w:line="276" w:lineRule="auto"/>
              <w:jc w:val="both"/>
              <w:rPr>
                <w:rFonts w:ascii="Arial" w:hAnsi="Arial" w:eastAsia="Times New Roman" w:cs="Arial"/>
                <w:b/>
                <w:color w:val="000000"/>
                <w:sz w:val="20"/>
                <w:szCs w:val="20"/>
              </w:rPr>
            </w:pPr>
            <w:r>
              <w:rPr>
                <w:rFonts w:ascii="Arial" w:hAnsi="Arial" w:eastAsia="Times New Roman" w:cs="Arial"/>
                <w:b/>
                <w:color w:val="000000"/>
                <w:sz w:val="20"/>
                <w:szCs w:val="20"/>
              </w:rPr>
              <w:t>Procedures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7" w:hRule="atLeast"/>
        </w:trPr>
        <w:tc>
          <w:tcPr>
            <w:tcW w:w="14087" w:type="dxa"/>
            <w:gridSpan w:val="5"/>
            <w:shd w:val="clear" w:color="auto" w:fill="FFFFFF"/>
          </w:tcPr>
          <w:p>
            <w:pPr>
              <w:jc w:val="both"/>
              <w:rPr>
                <w:lang w:val="en-AU"/>
              </w:rPr>
            </w:pPr>
            <w:r>
              <w:rPr>
                <w:lang w:val="en-AU"/>
              </w:rPr>
              <w:t>Designated Health and Safety Representatives (HSRs) will be responsible for ensuring that matters of policy as set out elsewhere in this document are carried out. In addition, the HSR will identify and cause to be rectified all potential safety hazards.</w:t>
            </w:r>
          </w:p>
          <w:p>
            <w:pPr>
              <w:pStyle w:val="3"/>
              <w:jc w:val="both"/>
              <w:rPr>
                <w:lang w:val="en-AU"/>
              </w:rPr>
            </w:pPr>
            <w:r>
              <w:rPr>
                <w:lang w:val="en-AU"/>
              </w:rPr>
              <w:t>Designated Work Areas</w:t>
            </w:r>
          </w:p>
          <w:p>
            <w:pPr>
              <w:jc w:val="both"/>
              <w:rPr>
                <w:lang w:val="en-AU"/>
              </w:rPr>
            </w:pPr>
            <w:r>
              <w:rPr>
                <w:lang w:val="en-AU"/>
              </w:rPr>
              <w:t>Cascade Peak Construction will be divided up into the following designated work areas:</w:t>
            </w:r>
          </w:p>
          <w:p>
            <w:pPr>
              <w:pStyle w:val="14"/>
              <w:numPr>
                <w:ilvl w:val="0"/>
                <w:numId w:val="4"/>
              </w:numPr>
              <w:contextualSpacing w:val="0"/>
              <w:jc w:val="both"/>
              <w:rPr>
                <w:lang w:val="en-AU"/>
              </w:rPr>
            </w:pPr>
            <w:r>
              <w:rPr>
                <w:lang w:val="en-AU"/>
              </w:rPr>
              <w:t>The office, including office entrances and exits, and staff/visitor car park.</w:t>
            </w:r>
          </w:p>
          <w:p>
            <w:pPr>
              <w:pStyle w:val="14"/>
              <w:numPr>
                <w:ilvl w:val="0"/>
                <w:numId w:val="4"/>
              </w:numPr>
              <w:contextualSpacing w:val="0"/>
              <w:jc w:val="both"/>
              <w:rPr>
                <w:lang w:val="en-AU"/>
              </w:rPr>
            </w:pPr>
            <w:r>
              <w:rPr>
                <w:lang w:val="en-AU"/>
              </w:rPr>
              <w:t>The depot, including the warehouse and the outdoor area containing the landscape supplies and large landscaping equipment.</w:t>
            </w:r>
          </w:p>
          <w:p>
            <w:pPr>
              <w:pStyle w:val="14"/>
              <w:numPr>
                <w:ilvl w:val="0"/>
                <w:numId w:val="4"/>
              </w:numPr>
              <w:contextualSpacing w:val="0"/>
              <w:jc w:val="both"/>
              <w:rPr>
                <w:lang w:val="en-AU"/>
              </w:rPr>
            </w:pPr>
            <w:r>
              <w:rPr>
                <w:lang w:val="en-AU"/>
              </w:rPr>
              <w:t>Each remote worksite where landscaping work is carried out is considered a separate designated work area.</w:t>
            </w:r>
          </w:p>
          <w:p>
            <w:pPr>
              <w:jc w:val="both"/>
              <w:rPr>
                <w:lang w:val="en-AU"/>
              </w:rPr>
            </w:pPr>
            <w:r>
              <w:rPr>
                <w:lang w:val="en-AU"/>
              </w:rPr>
              <w:t>In instances of large worksites where different teams are working in different areas (for instance different areas of national park land where each team is a long way from each other, then the area in which each team is working constitutes a separate designated work area.</w:t>
            </w:r>
          </w:p>
          <w:p>
            <w:pPr>
              <w:pStyle w:val="3"/>
              <w:jc w:val="both"/>
              <w:rPr>
                <w:lang w:val="en-AU"/>
              </w:rPr>
            </w:pPr>
            <w:r>
              <w:rPr>
                <w:lang w:val="en-AU"/>
              </w:rPr>
              <w:t>Health and Safety Representatives</w:t>
            </w:r>
          </w:p>
          <w:p>
            <w:pPr>
              <w:jc w:val="both"/>
              <w:rPr>
                <w:lang w:val="en-AU"/>
              </w:rPr>
            </w:pPr>
            <w:r>
              <w:rPr>
                <w:lang w:val="en-AU"/>
              </w:rPr>
              <w:t>Every designated work area must have a designated HSR (health and safety representative).</w:t>
            </w:r>
          </w:p>
          <w:p>
            <w:pPr>
              <w:jc w:val="both"/>
              <w:rPr>
                <w:lang w:val="en-AU"/>
              </w:rPr>
            </w:pPr>
            <w:r>
              <w:rPr>
                <w:lang w:val="en-AU"/>
              </w:rPr>
              <w:t>The administration manager will be the HSR of the office work area.</w:t>
            </w:r>
          </w:p>
          <w:p>
            <w:pPr>
              <w:jc w:val="both"/>
              <w:rPr>
                <w:lang w:val="en-AU"/>
              </w:rPr>
            </w:pPr>
            <w:r>
              <w:rPr>
                <w:lang w:val="en-AU"/>
              </w:rPr>
              <w:t>Every worksite defined above is required to have a site supervisor who will be the HSR of their respective work area.</w:t>
            </w:r>
          </w:p>
          <w:p>
            <w:pPr>
              <w:jc w:val="both"/>
              <w:rPr>
                <w:lang w:val="en-AU"/>
              </w:rPr>
            </w:pPr>
            <w:r>
              <w:rPr>
                <w:lang w:val="en-AU"/>
              </w:rPr>
              <w:t>HSR to be aware of “Duty of Care” under Workplace Health and Safety Act. To make sure that all persons entering a workplace that requires a safety induction has a current induction or arranges to get that person inducted. Inductions are for a limited period of 12 months.</w:t>
            </w:r>
          </w:p>
          <w:p>
            <w:pPr>
              <w:spacing w:before="144" w:beforeLines="60" w:after="144" w:afterLines="60" w:line="276" w:lineRule="auto"/>
              <w:rPr>
                <w:rFonts w:ascii="Arial" w:hAnsi="Arial" w:eastAsia="Times New Roman" w:cs="Arial"/>
                <w:bCs/>
                <w:color w:val="44546A" w:themeColor="text2"/>
                <w:sz w:val="20"/>
                <w:szCs w:val="20"/>
                <w14:textFill>
                  <w14:solidFill>
                    <w14:schemeClr w14:val="tx2"/>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4087" w:type="dxa"/>
            <w:gridSpan w:val="5"/>
            <w:shd w:val="clear" w:color="auto" w:fill="D8D8D8" w:themeFill="background1" w:themeFillShade="D9"/>
            <w:vAlign w:val="center"/>
          </w:tcPr>
          <w:p>
            <w:pPr>
              <w:spacing w:before="144" w:beforeLines="60" w:after="144" w:afterLines="60" w:line="276" w:lineRule="auto"/>
              <w:rPr>
                <w:rFonts w:ascii="Arial" w:hAnsi="Arial" w:eastAsia="Times New Roman" w:cs="Arial"/>
                <w:b/>
                <w:smallCaps/>
                <w:color w:val="000000"/>
                <w:sz w:val="20"/>
                <w:szCs w:val="20"/>
              </w:rPr>
            </w:pPr>
            <w:r>
              <w:rPr>
                <w:rFonts w:ascii="Arial Narrow" w:hAnsi="Arial Narrow" w:eastAsia="Times New Roman" w:cs="Times New Roman"/>
                <w:b/>
                <w:bCs/>
              </w:rPr>
              <w:t>Issues to be addressed and consultation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auto"/>
            <w:vAlign w:val="center"/>
          </w:tcPr>
          <w:p>
            <w:pPr>
              <w:spacing w:after="0" w:line="240" w:lineRule="auto"/>
              <w:jc w:val="center"/>
              <w:rPr>
                <w:rFonts w:ascii="Arial Narrow" w:hAnsi="Arial Narrow" w:eastAsia="Times New Roman" w:cs="Times New Roman"/>
                <w:b/>
                <w:bCs/>
              </w:rPr>
            </w:pPr>
            <w:r>
              <w:rPr>
                <w:rFonts w:ascii="Arial Narrow" w:hAnsi="Arial Narrow" w:eastAsia="Times New Roman" w:cs="Times New Roman"/>
                <w:b/>
                <w:bCs/>
              </w:rPr>
              <w:t>Issue</w:t>
            </w:r>
          </w:p>
        </w:tc>
        <w:tc>
          <w:tcPr>
            <w:tcW w:w="2693" w:type="dxa"/>
            <w:shd w:val="clear" w:color="auto" w:fill="auto"/>
            <w:vAlign w:val="center"/>
          </w:tcPr>
          <w:p>
            <w:pPr>
              <w:spacing w:after="0" w:line="240" w:lineRule="auto"/>
              <w:jc w:val="center"/>
              <w:rPr>
                <w:rFonts w:ascii="Arial Narrow" w:hAnsi="Arial Narrow" w:eastAsia="Times New Roman" w:cs="Times New Roman"/>
                <w:b/>
                <w:bCs/>
              </w:rPr>
            </w:pPr>
            <w:r>
              <w:rPr>
                <w:rFonts w:ascii="Arial Narrow" w:hAnsi="Arial Narrow" w:eastAsia="Times New Roman" w:cs="Times New Roman"/>
                <w:b/>
                <w:bCs/>
              </w:rPr>
              <w:t>Who to consult</w:t>
            </w:r>
          </w:p>
        </w:tc>
        <w:tc>
          <w:tcPr>
            <w:tcW w:w="2410" w:type="dxa"/>
            <w:shd w:val="clear" w:color="auto" w:fill="auto"/>
            <w:vAlign w:val="center"/>
          </w:tcPr>
          <w:p>
            <w:pPr>
              <w:spacing w:after="0" w:line="240" w:lineRule="auto"/>
              <w:jc w:val="center"/>
              <w:rPr>
                <w:rFonts w:ascii="Arial Narrow" w:hAnsi="Arial Narrow" w:eastAsia="Times New Roman" w:cs="Times New Roman"/>
                <w:b/>
                <w:bCs/>
              </w:rPr>
            </w:pPr>
            <w:r>
              <w:rPr>
                <w:rFonts w:ascii="Arial Narrow" w:hAnsi="Arial Narrow" w:eastAsia="Times New Roman" w:cs="Times New Roman"/>
                <w:b/>
                <w:bCs/>
              </w:rPr>
              <w:t>Improvements for consideration</w:t>
            </w:r>
          </w:p>
        </w:tc>
        <w:tc>
          <w:tcPr>
            <w:tcW w:w="2835" w:type="dxa"/>
            <w:shd w:val="clear" w:color="auto" w:fill="auto"/>
            <w:vAlign w:val="center"/>
          </w:tcPr>
          <w:p>
            <w:pPr>
              <w:spacing w:after="0" w:line="240" w:lineRule="auto"/>
              <w:jc w:val="center"/>
              <w:rPr>
                <w:rFonts w:ascii="Arial Narrow" w:hAnsi="Arial Narrow" w:eastAsia="Times New Roman" w:cs="Times New Roman"/>
                <w:b/>
                <w:bCs/>
              </w:rPr>
            </w:pPr>
            <w:r>
              <w:rPr>
                <w:rFonts w:ascii="Arial Narrow" w:hAnsi="Arial Narrow" w:eastAsia="Times New Roman" w:cs="Times New Roman"/>
                <w:b/>
                <w:bCs/>
              </w:rPr>
              <w:t>Feedback following consideration</w:t>
            </w:r>
          </w:p>
        </w:tc>
        <w:tc>
          <w:tcPr>
            <w:tcW w:w="1984" w:type="dxa"/>
            <w:shd w:val="clear" w:color="auto" w:fill="auto"/>
            <w:vAlign w:val="center"/>
          </w:tcPr>
          <w:p>
            <w:pPr>
              <w:spacing w:after="0" w:line="240" w:lineRule="auto"/>
              <w:jc w:val="center"/>
              <w:rPr>
                <w:rFonts w:ascii="Arial Narrow" w:hAnsi="Arial Narrow" w:eastAsia="Times New Roman" w:cs="Times New Roman"/>
                <w:b/>
                <w:bCs/>
              </w:rPr>
            </w:pPr>
            <w:r>
              <w:rPr>
                <w:rFonts w:ascii="Arial Narrow" w:hAnsi="Arial Narrow" w:eastAsia="Times New Roman" w:cs="Times New Roman"/>
                <w:b/>
                <w:bCs/>
              </w:rPr>
              <w:t>Supporting Resources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Safety </w:t>
            </w:r>
          </w:p>
        </w:tc>
        <w:tc>
          <w:tcPr>
            <w:tcW w:w="2693"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Onsite manager or supervisor</w:t>
            </w:r>
          </w:p>
        </w:tc>
        <w:tc>
          <w:tcPr>
            <w:tcW w:w="2410"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By email</w:t>
            </w:r>
          </w:p>
        </w:tc>
        <w:tc>
          <w:tcPr>
            <w:tcW w:w="283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By email</w:t>
            </w:r>
          </w:p>
        </w:tc>
        <w:tc>
          <w:tcPr>
            <w:tcW w:w="1984"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Records kept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Health </w:t>
            </w:r>
          </w:p>
        </w:tc>
        <w:tc>
          <w:tcPr>
            <w:tcW w:w="2693" w:type="dxa"/>
            <w:shd w:val="clear" w:color="auto" w:fill="FFFFFF"/>
          </w:tcPr>
          <w:p>
            <w:pPr>
              <w:spacing w:after="0" w:line="240" w:lineRule="auto"/>
              <w:rPr>
                <w:rFonts w:hint="default" w:ascii="Arial" w:hAnsi="Arial" w:eastAsia="宋体" w:cs="Arial"/>
                <w:bCs/>
                <w:color w:val="44546A" w:themeColor="text2"/>
                <w:sz w:val="20"/>
                <w:szCs w:val="20"/>
                <w:lang w:val="en-US" w:eastAsia="zh-CN"/>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As above</w:t>
            </w:r>
          </w:p>
        </w:tc>
        <w:tc>
          <w:tcPr>
            <w:tcW w:w="2410"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By email</w:t>
            </w:r>
          </w:p>
        </w:tc>
        <w:tc>
          <w:tcPr>
            <w:tcW w:w="283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By email</w:t>
            </w:r>
          </w:p>
        </w:tc>
        <w:tc>
          <w:tcPr>
            <w:tcW w:w="1984"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Records kept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Quality of project </w:t>
            </w:r>
          </w:p>
        </w:tc>
        <w:tc>
          <w:tcPr>
            <w:tcW w:w="2693"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Builder or certificate </w:t>
            </w:r>
          </w:p>
        </w:tc>
        <w:tc>
          <w:tcPr>
            <w:tcW w:w="2410"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By email</w:t>
            </w:r>
          </w:p>
        </w:tc>
        <w:tc>
          <w:tcPr>
            <w:tcW w:w="283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By email</w:t>
            </w:r>
          </w:p>
        </w:tc>
        <w:tc>
          <w:tcPr>
            <w:tcW w:w="1984"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r>
              <w:rPr>
                <w:rFonts w:hint="eastAsia" w:ascii="Arial" w:hAnsi="Arial" w:eastAsia="宋体" w:cs="Arial"/>
                <w:bCs/>
                <w:color w:val="44546A" w:themeColor="text2"/>
                <w:sz w:val="20"/>
                <w:szCs w:val="20"/>
                <w:lang w:val="en-US" w:eastAsia="zh-CN"/>
                <w14:textFill>
                  <w14:solidFill>
                    <w14:schemeClr w14:val="tx2"/>
                  </w14:solidFill>
                </w14:textFill>
              </w:rPr>
              <w:t xml:space="preserve">Records kept </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693"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410"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83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1984"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693"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410"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83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1984"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693"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410"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83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1984"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16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693"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410"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2835"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c>
          <w:tcPr>
            <w:tcW w:w="1984" w:type="dxa"/>
            <w:shd w:val="clear" w:color="auto" w:fill="FFFFFF"/>
          </w:tcPr>
          <w:p>
            <w:pPr>
              <w:spacing w:after="0" w:line="240" w:lineRule="auto"/>
              <w:rPr>
                <w:rFonts w:ascii="Arial" w:hAnsi="Arial" w:eastAsia="Times New Roman" w:cs="Arial"/>
                <w:bCs/>
                <w:color w:val="44546A" w:themeColor="text2"/>
                <w:sz w:val="20"/>
                <w:szCs w:val="20"/>
                <w14:textFill>
                  <w14:solidFill>
                    <w14:schemeClr w14:val="tx2"/>
                  </w14:solidFill>
                </w14:textFill>
              </w:rPr>
            </w:pPr>
          </w:p>
        </w:tc>
      </w:tr>
    </w:tbl>
    <w:p>
      <w:pPr>
        <w:spacing w:after="0" w:line="240" w:lineRule="auto"/>
        <w:rPr>
          <w:sz w:val="2"/>
          <w:szCs w:val="2"/>
        </w:rPr>
      </w:pPr>
    </w:p>
    <w:sectPr>
      <w:headerReference r:id="rId5" w:type="default"/>
      <w:footerReference r:id="rId7" w:type="default"/>
      <w:headerReference r:id="rId6" w:type="even"/>
      <w:footerReference r:id="rId8" w:type="even"/>
      <w:pgSz w:w="16838" w:h="11906" w:orient="landscape"/>
      <w:pgMar w:top="1440" w:right="1440" w:bottom="1440" w:left="1440" w:header="680" w:footer="68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Arial Narrow">
    <w:altName w:val="Arial"/>
    <w:panose1 w:val="020B0606020202030204"/>
    <w:charset w:val="00"/>
    <w:family w:val="swiss"/>
    <w:pitch w:val="default"/>
    <w:sig w:usb0="00000000" w:usb1="00000000" w:usb2="00000000" w:usb3="00000000" w:csb0="0000009F" w:csb1="00000000"/>
  </w:font>
  <w:font w:name="Calibri Light">
    <w:panose1 w:val="020F0302020204030204"/>
    <w:charset w:val="00"/>
    <w:family w:val="auto"/>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spacing w:after="0" w:line="240" w:lineRule="auto"/>
      <w:jc w:val="both"/>
      <w:rPr>
        <w:rFonts w:ascii="Arial" w:hAnsi="Arial" w:eastAsia="Times New Roman" w:cs="Arial"/>
        <w:b/>
        <w:sz w:val="16"/>
        <w:szCs w:val="16"/>
      </w:rPr>
    </w:pPr>
  </w:p>
  <w:p>
    <w:pPr>
      <w:pBdr>
        <w:top w:val="single" w:color="auto" w:sz="4" w:space="1"/>
      </w:pBdr>
      <w:spacing w:after="0" w:line="240" w:lineRule="auto"/>
      <w:jc w:val="both"/>
      <w:rPr>
        <w:rFonts w:ascii="Arial" w:hAnsi="Arial" w:eastAsia="Times New Roman" w:cs="Arial"/>
        <w:b/>
        <w:sz w:val="16"/>
        <w:szCs w:val="16"/>
      </w:rPr>
    </w:pPr>
    <w:r>
      <w:rPr>
        <w:rFonts w:ascii="Arial" w:hAnsi="Arial" w:eastAsia="Times New Roman" w:cs="Arial"/>
        <w:b/>
        <w:sz w:val="16"/>
        <w:szCs w:val="16"/>
      </w:rPr>
      <w:t>CSTC Pty Ltd_RTO#0699_</w:t>
    </w:r>
    <w:sdt>
      <w:sdtPr>
        <w:rPr>
          <w:rFonts w:ascii="Arial" w:hAnsi="Arial" w:eastAsia="Times New Roman"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eastAsia="Times New Roman" w:cs="Arial"/>
          <w:b/>
          <w:sz w:val="16"/>
          <w:szCs w:val="16"/>
        </w:rPr>
      </w:sdtEndPr>
      <w:sdtContent>
        <w:r>
          <w:rPr>
            <w:rFonts w:ascii="Arial" w:hAnsi="Arial" w:eastAsia="Times New Roman" w:cs="Arial"/>
            <w:b/>
            <w:sz w:val="16"/>
            <w:szCs w:val="16"/>
          </w:rPr>
          <w:t>v1-1_07/03/2023</w:t>
        </w:r>
      </w:sdtContent>
    </w:sdt>
    <w:r>
      <w:rPr>
        <w:rFonts w:ascii="Arial" w:hAnsi="Arial" w:eastAsia="Times New Roman" w:cs="Arial"/>
        <w:b/>
        <w:sz w:val="16"/>
        <w:szCs w:val="16"/>
      </w:rPr>
      <w:ptab w:relativeTo="margin" w:alignment="right" w:leader="none"/>
    </w:r>
    <w:sdt>
      <w:sdtPr>
        <w:rPr>
          <w:rFonts w:ascii="Arial" w:hAnsi="Arial" w:eastAsia="Times New Roman" w:cs="Arial"/>
          <w:b/>
          <w:sz w:val="16"/>
          <w:szCs w:val="16"/>
        </w:rPr>
        <w:id w:val="-358125695"/>
        <w:docPartObj>
          <w:docPartGallery w:val="AutoText"/>
        </w:docPartObj>
      </w:sdtPr>
      <w:sdtEndPr>
        <w:rPr>
          <w:rFonts w:ascii="Arial" w:hAnsi="Arial" w:eastAsia="Times New Roman" w:cs="Arial"/>
          <w:b/>
          <w:sz w:val="16"/>
          <w:szCs w:val="16"/>
        </w:rPr>
      </w:sdtEndPr>
      <w:sdtContent>
        <w:sdt>
          <w:sdtPr>
            <w:rPr>
              <w:rFonts w:ascii="Arial" w:hAnsi="Arial" w:eastAsia="Times New Roman" w:cs="Arial"/>
              <w:b/>
              <w:sz w:val="16"/>
              <w:szCs w:val="16"/>
            </w:rPr>
            <w:id w:val="-255511779"/>
            <w:docPartObj>
              <w:docPartGallery w:val="AutoText"/>
            </w:docPartObj>
          </w:sdtPr>
          <w:sdtEndPr>
            <w:rPr>
              <w:rFonts w:ascii="Arial" w:hAnsi="Arial" w:eastAsia="Times New Roman" w:cs="Arial"/>
              <w:b/>
              <w:sz w:val="16"/>
              <w:szCs w:val="16"/>
            </w:rPr>
          </w:sdtEndPr>
          <w:sdtContent>
            <w:r>
              <w:rPr>
                <w:rFonts w:ascii="Arial" w:hAnsi="Arial" w:eastAsia="Times New Roman" w:cs="Arial"/>
                <w:b/>
                <w:sz w:val="16"/>
                <w:szCs w:val="16"/>
              </w:rPr>
              <w:t xml:space="preserve">Page </w:t>
            </w:r>
            <w:r>
              <w:rPr>
                <w:rFonts w:ascii="Arial" w:hAnsi="Arial" w:eastAsia="Times New Roman" w:cs="Arial"/>
                <w:b/>
                <w:bCs/>
                <w:sz w:val="16"/>
                <w:szCs w:val="16"/>
              </w:rPr>
              <w:fldChar w:fldCharType="begin"/>
            </w:r>
            <w:r>
              <w:rPr>
                <w:rFonts w:ascii="Arial" w:hAnsi="Arial" w:eastAsia="Times New Roman" w:cs="Arial"/>
                <w:b/>
                <w:bCs/>
                <w:sz w:val="16"/>
                <w:szCs w:val="16"/>
              </w:rPr>
              <w:instrText xml:space="preserve"> PAGE </w:instrText>
            </w:r>
            <w:r>
              <w:rPr>
                <w:rFonts w:ascii="Arial" w:hAnsi="Arial" w:eastAsia="Times New Roman" w:cs="Arial"/>
                <w:b/>
                <w:bCs/>
                <w:sz w:val="16"/>
                <w:szCs w:val="16"/>
              </w:rPr>
              <w:fldChar w:fldCharType="separate"/>
            </w:r>
            <w:r>
              <w:rPr>
                <w:rFonts w:ascii="Arial" w:hAnsi="Arial" w:eastAsia="Times New Roman" w:cs="Arial"/>
                <w:b/>
                <w:bCs/>
                <w:sz w:val="16"/>
                <w:szCs w:val="16"/>
              </w:rPr>
              <w:t>1</w:t>
            </w:r>
            <w:r>
              <w:rPr>
                <w:rFonts w:ascii="Arial" w:hAnsi="Arial" w:eastAsia="Times New Roman" w:cs="Arial"/>
                <w:b/>
                <w:sz w:val="16"/>
                <w:szCs w:val="16"/>
              </w:rPr>
              <w:fldChar w:fldCharType="end"/>
            </w:r>
            <w:r>
              <w:rPr>
                <w:rFonts w:ascii="Arial" w:hAnsi="Arial" w:eastAsia="Times New Roman" w:cs="Arial"/>
                <w:b/>
                <w:sz w:val="16"/>
                <w:szCs w:val="16"/>
              </w:rPr>
              <w:t xml:space="preserve"> of </w:t>
            </w:r>
            <w:r>
              <w:rPr>
                <w:rFonts w:ascii="Arial" w:hAnsi="Arial" w:eastAsia="Times New Roman" w:cs="Arial"/>
                <w:b/>
                <w:bCs/>
                <w:sz w:val="16"/>
                <w:szCs w:val="16"/>
              </w:rPr>
              <w:fldChar w:fldCharType="begin"/>
            </w:r>
            <w:r>
              <w:rPr>
                <w:rFonts w:ascii="Arial" w:hAnsi="Arial" w:eastAsia="Times New Roman" w:cs="Arial"/>
                <w:b/>
                <w:bCs/>
                <w:sz w:val="16"/>
                <w:szCs w:val="16"/>
              </w:rPr>
              <w:instrText xml:space="preserve"> NUMPAGES  </w:instrText>
            </w:r>
            <w:r>
              <w:rPr>
                <w:rFonts w:ascii="Arial" w:hAnsi="Arial" w:eastAsia="Times New Roman" w:cs="Arial"/>
                <w:b/>
                <w:bCs/>
                <w:sz w:val="16"/>
                <w:szCs w:val="16"/>
              </w:rPr>
              <w:fldChar w:fldCharType="separate"/>
            </w:r>
            <w:r>
              <w:rPr>
                <w:rFonts w:ascii="Arial" w:hAnsi="Arial" w:eastAsia="Times New Roman" w:cs="Arial"/>
                <w:b/>
                <w:bCs/>
                <w:sz w:val="16"/>
                <w:szCs w:val="16"/>
              </w:rPr>
              <w:t>3</w:t>
            </w:r>
            <w:r>
              <w:rPr>
                <w:rFonts w:ascii="Arial" w:hAnsi="Arial" w:eastAsia="Times New Roman"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spacing w:after="0" w:line="240" w:lineRule="auto"/>
      <w:jc w:val="both"/>
      <w:rPr>
        <w:rFonts w:ascii="Arial" w:hAnsi="Arial" w:eastAsia="Times New Roman" w:cs="Arial"/>
        <w:b/>
        <w:sz w:val="16"/>
        <w:szCs w:val="16"/>
      </w:rPr>
    </w:pPr>
  </w:p>
  <w:p>
    <w:pPr>
      <w:pBdr>
        <w:top w:val="single" w:color="auto" w:sz="4" w:space="1"/>
      </w:pBdr>
      <w:tabs>
        <w:tab w:val="right" w:pos="9026"/>
      </w:tabs>
      <w:spacing w:after="0" w:line="240" w:lineRule="auto"/>
      <w:jc w:val="both"/>
      <w:rPr>
        <w:rFonts w:ascii="Arial" w:hAnsi="Arial" w:eastAsia="Times New Roman" w:cs="Arial"/>
        <w:b/>
        <w:sz w:val="16"/>
        <w:szCs w:val="16"/>
      </w:rPr>
    </w:pPr>
    <w:sdt>
      <w:sdtPr>
        <w:rPr>
          <w:rFonts w:ascii="Arial" w:hAnsi="Arial" w:eastAsia="Times New Roman" w:cs="Arial"/>
          <w:b/>
          <w:sz w:val="16"/>
          <w:szCs w:val="16"/>
        </w:rPr>
        <w:id w:val="2052884856"/>
        <w:docPartObj>
          <w:docPartGallery w:val="AutoText"/>
        </w:docPartObj>
      </w:sdtPr>
      <w:sdtEndPr>
        <w:rPr>
          <w:rFonts w:ascii="Arial" w:hAnsi="Arial" w:eastAsia="Times New Roman" w:cs="Arial"/>
          <w:b/>
          <w:sz w:val="16"/>
          <w:szCs w:val="16"/>
        </w:rPr>
      </w:sdtEndPr>
      <w:sdtContent>
        <w:sdt>
          <w:sdtPr>
            <w:rPr>
              <w:rFonts w:ascii="Arial" w:hAnsi="Arial" w:eastAsia="Times New Roman" w:cs="Arial"/>
              <w:b/>
              <w:sz w:val="16"/>
              <w:szCs w:val="16"/>
            </w:rPr>
            <w:id w:val="305601562"/>
            <w:docPartObj>
              <w:docPartGallery w:val="AutoText"/>
            </w:docPartObj>
          </w:sdtPr>
          <w:sdtEndPr>
            <w:rPr>
              <w:rFonts w:ascii="Arial" w:hAnsi="Arial" w:eastAsia="Times New Roman" w:cs="Arial"/>
              <w:b/>
              <w:sz w:val="16"/>
              <w:szCs w:val="16"/>
            </w:rPr>
          </w:sdtEndPr>
          <w:sdtContent>
            <w:r>
              <w:rPr>
                <w:rFonts w:ascii="Arial" w:hAnsi="Arial" w:eastAsia="Times New Roman" w:cs="Arial"/>
                <w:b/>
                <w:sz w:val="16"/>
                <w:szCs w:val="16"/>
              </w:rPr>
              <w:t xml:space="preserve">Page </w:t>
            </w:r>
            <w:r>
              <w:rPr>
                <w:rFonts w:ascii="Arial" w:hAnsi="Arial" w:eastAsia="Times New Roman" w:cs="Arial"/>
                <w:b/>
                <w:bCs/>
                <w:sz w:val="16"/>
                <w:szCs w:val="16"/>
              </w:rPr>
              <w:fldChar w:fldCharType="begin"/>
            </w:r>
            <w:r>
              <w:rPr>
                <w:rFonts w:ascii="Arial" w:hAnsi="Arial" w:eastAsia="Times New Roman" w:cs="Arial"/>
                <w:b/>
                <w:bCs/>
                <w:sz w:val="16"/>
                <w:szCs w:val="16"/>
              </w:rPr>
              <w:instrText xml:space="preserve"> PAGE </w:instrText>
            </w:r>
            <w:r>
              <w:rPr>
                <w:rFonts w:ascii="Arial" w:hAnsi="Arial" w:eastAsia="Times New Roman" w:cs="Arial"/>
                <w:b/>
                <w:bCs/>
                <w:sz w:val="16"/>
                <w:szCs w:val="16"/>
              </w:rPr>
              <w:fldChar w:fldCharType="separate"/>
            </w:r>
            <w:r>
              <w:rPr>
                <w:rFonts w:ascii="Arial" w:hAnsi="Arial" w:eastAsia="Times New Roman" w:cs="Arial"/>
                <w:b/>
                <w:bCs/>
                <w:sz w:val="16"/>
                <w:szCs w:val="16"/>
              </w:rPr>
              <w:t>2</w:t>
            </w:r>
            <w:r>
              <w:rPr>
                <w:rFonts w:ascii="Arial" w:hAnsi="Arial" w:eastAsia="Times New Roman" w:cs="Arial"/>
                <w:b/>
                <w:sz w:val="16"/>
                <w:szCs w:val="16"/>
              </w:rPr>
              <w:fldChar w:fldCharType="end"/>
            </w:r>
            <w:r>
              <w:rPr>
                <w:rFonts w:ascii="Arial" w:hAnsi="Arial" w:eastAsia="Times New Roman" w:cs="Arial"/>
                <w:b/>
                <w:sz w:val="16"/>
                <w:szCs w:val="16"/>
              </w:rPr>
              <w:t xml:space="preserve"> of </w:t>
            </w:r>
            <w:r>
              <w:rPr>
                <w:rFonts w:ascii="Arial" w:hAnsi="Arial" w:eastAsia="Times New Roman" w:cs="Arial"/>
                <w:b/>
                <w:bCs/>
                <w:sz w:val="16"/>
                <w:szCs w:val="16"/>
              </w:rPr>
              <w:fldChar w:fldCharType="begin"/>
            </w:r>
            <w:r>
              <w:rPr>
                <w:rFonts w:ascii="Arial" w:hAnsi="Arial" w:eastAsia="Times New Roman" w:cs="Arial"/>
                <w:b/>
                <w:bCs/>
                <w:sz w:val="16"/>
                <w:szCs w:val="16"/>
              </w:rPr>
              <w:instrText xml:space="preserve"> NUMPAGES  </w:instrText>
            </w:r>
            <w:r>
              <w:rPr>
                <w:rFonts w:ascii="Arial" w:hAnsi="Arial" w:eastAsia="Times New Roman" w:cs="Arial"/>
                <w:b/>
                <w:bCs/>
                <w:sz w:val="16"/>
                <w:szCs w:val="16"/>
              </w:rPr>
              <w:fldChar w:fldCharType="separate"/>
            </w:r>
            <w:r>
              <w:rPr>
                <w:rFonts w:ascii="Arial" w:hAnsi="Arial" w:eastAsia="Times New Roman" w:cs="Arial"/>
                <w:b/>
                <w:bCs/>
                <w:sz w:val="16"/>
                <w:szCs w:val="16"/>
              </w:rPr>
              <w:t>3</w:t>
            </w:r>
            <w:r>
              <w:rPr>
                <w:rFonts w:ascii="Arial" w:hAnsi="Arial" w:eastAsia="Times New Roman" w:cs="Arial"/>
                <w:b/>
                <w:sz w:val="16"/>
                <w:szCs w:val="16"/>
              </w:rPr>
              <w:fldChar w:fldCharType="end"/>
            </w:r>
          </w:sdtContent>
        </w:sdt>
      </w:sdtContent>
    </w:sdt>
    <w:r>
      <w:rPr>
        <w:rFonts w:ascii="Arial" w:hAnsi="Arial" w:eastAsia="Times New Roman" w:cs="Arial"/>
        <w:b/>
        <w:sz w:val="16"/>
        <w:szCs w:val="16"/>
      </w:rPr>
      <w:ptab w:relativeTo="margin" w:alignment="right" w:leader="none"/>
    </w:r>
    <w:r>
      <w:rPr>
        <w:rFonts w:ascii="Arial" w:hAnsi="Arial" w:eastAsia="Times New Roman" w:cs="Arial"/>
        <w:b/>
        <w:sz w:val="16"/>
        <w:szCs w:val="16"/>
      </w:rPr>
      <w:t>CSTC Pty Ltd_RTO#0699_</w:t>
    </w:r>
    <w:sdt>
      <w:sdtPr>
        <w:rPr>
          <w:rFonts w:ascii="Arial" w:hAnsi="Arial" w:eastAsia="Times New Roman" w:cs="Arial"/>
          <w:b/>
          <w:sz w:val="16"/>
          <w:szCs w:val="16"/>
        </w:rPr>
        <w:alias w:val="Status"/>
        <w:id w:val="1836192853"/>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eastAsia="Times New Roman" w:cs="Arial"/>
          <w:b/>
          <w:sz w:val="16"/>
          <w:szCs w:val="16"/>
        </w:rPr>
      </w:sdtEndPr>
      <w:sdtContent>
        <w:r>
          <w:rPr>
            <w:rFonts w:ascii="Arial" w:hAnsi="Arial" w:eastAsia="Times New Roman" w:cs="Arial"/>
            <w:b/>
            <w:sz w:val="16"/>
            <w:szCs w:val="16"/>
          </w:rPr>
          <w:t>v1-1_07/03/2023</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spacing w:after="0" w:line="240" w:lineRule="auto"/>
      <w:rPr>
        <w:rFonts w:ascii="Arial" w:hAnsi="Arial" w:cs="Arial"/>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id w:val="1349601279"/>
        <w:placeholder>
          <w:docPart w:val="C5C7C18579E84A3A97162A87960AD481"/>
        </w:placeholder>
        <w:dataBinding w:prefixMappings="xmlns:ns0='http://purl.org/dc/elements/1.1/' xmlns:ns1='http://schemas.openxmlformats.org/package/2006/metadata/core-properties' " w:xpath="/ns1:coreProperties[1]/ns1:category[1]" w:storeItemID="{6C3C8BC8-F283-45AE-878A-BAB7291924A1}"/>
        <w:text/>
      </w:sdtPr>
      <w:sdtEndPr>
        <w:rPr>
          <w:rFonts w:ascii="Arial" w:hAnsi="Arial" w:cs="Arial"/>
          <w:b/>
          <w:sz w:val="16"/>
          <w:szCs w:val="16"/>
        </w:rPr>
      </w:sdtEndPr>
      <w:sdtContent>
        <w:r>
          <w:rPr>
            <w:rFonts w:ascii="Arial" w:hAnsi="Arial" w:cs="Arial"/>
            <w:b/>
            <w:sz w:val="16"/>
            <w:szCs w:val="16"/>
          </w:rPr>
          <w:t>Handout 1</w:t>
        </w:r>
      </w:sdtContent>
    </w:sdt>
    <w:r>
      <w:rPr>
        <w:rFonts w:ascii="Arial" w:hAnsi="Arial" w:cs="Arial"/>
        <w:b/>
        <w:sz w:val="16"/>
        <w:szCs w:val="16"/>
      </w:rPr>
      <w:t xml:space="preserve"> - </w:t>
    </w:r>
    <w:sdt>
      <w:sdtPr>
        <w:rPr>
          <w:rFonts w:ascii="Arial" w:hAnsi="Arial" w:cs="Arial"/>
          <w:b/>
          <w:sz w:val="16"/>
          <w:szCs w:val="16"/>
        </w:rPr>
        <w:alias w:val="Title"/>
        <w:id w:val="5101114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CPCCBC4053</w:t>
        </w:r>
      </w:sdtContent>
    </w:sdt>
    <w:r>
      <w:rPr>
        <w:rFonts w:ascii="Arial" w:hAnsi="Arial" w:cs="Arial"/>
        <w:b/>
        <w:sz w:val="16"/>
        <w:szCs w:val="16"/>
      </w:rPr>
      <w:t xml:space="preserve"> </w:t>
    </w:r>
    <w:sdt>
      <w:sdtPr>
        <w:rPr>
          <w:rFonts w:ascii="Arial" w:hAnsi="Arial" w:cs="Arial"/>
          <w:b/>
          <w:sz w:val="16"/>
          <w:szCs w:val="16"/>
        </w:rPr>
        <w:alias w:val="Subject"/>
        <w:id w:val="-1854029525"/>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building codes and standards to the construction process for Class 2 to 9 Type C buildings</w:t>
        </w:r>
      </w:sdtContent>
    </w:sdt>
  </w:p>
  <w:p>
    <w:pPr>
      <w:pBdr>
        <w:bottom w:val="single" w:color="auto" w:sz="4" w:space="1"/>
      </w:pBdr>
      <w:tabs>
        <w:tab w:val="right" w:pos="9639"/>
      </w:tabs>
      <w:spacing w:after="0" w:line="240" w:lineRule="auto"/>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spacing w:after="0" w:line="240" w:lineRule="auto"/>
      <w:rPr>
        <w:rFonts w:ascii="Arial" w:hAnsi="Arial" w:cs="Arial"/>
        <w:sz w:val="16"/>
        <w:szCs w:val="16"/>
      </w:rPr>
    </w:pPr>
    <w:sdt>
      <w:sdtPr>
        <w:rPr>
          <w:rFonts w:ascii="Arial" w:hAnsi="Arial" w:cs="Arial"/>
          <w:b/>
          <w:sz w:val="16"/>
          <w:szCs w:val="16"/>
        </w:rPr>
        <w:alias w:val="Category"/>
        <w:id w:val="748998230"/>
        <w:placeholder>
          <w:docPart w:val="1F70B64AFB6F44BF82C0BC8CE63356A0"/>
        </w:placeholder>
        <w:dataBinding w:prefixMappings="xmlns:ns0='http://purl.org/dc/elements/1.1/' xmlns:ns1='http://schemas.openxmlformats.org/package/2006/metadata/core-properties' " w:xpath="/ns1:coreProperties[1]/ns1:category[1]" w:storeItemID="{6C3C8BC8-F283-45AE-878A-BAB7291924A1}"/>
        <w:text/>
      </w:sdtPr>
      <w:sdtEndPr>
        <w:rPr>
          <w:rFonts w:ascii="Arial" w:hAnsi="Arial" w:cs="Arial"/>
          <w:b/>
          <w:sz w:val="16"/>
          <w:szCs w:val="16"/>
        </w:rPr>
      </w:sdtEndPr>
      <w:sdtContent>
        <w:r>
          <w:rPr>
            <w:rFonts w:ascii="Arial" w:hAnsi="Arial" w:cs="Arial"/>
            <w:b/>
            <w:sz w:val="16"/>
            <w:szCs w:val="16"/>
          </w:rPr>
          <w:t>Handout 1</w:t>
        </w:r>
      </w:sdtContent>
    </w:sdt>
    <w:r>
      <w:rPr>
        <w:rFonts w:ascii="Arial" w:hAnsi="Arial" w:cs="Arial"/>
        <w:b/>
        <w:sz w:val="16"/>
        <w:szCs w:val="16"/>
      </w:rPr>
      <w:t xml:space="preserve">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CPCCBC4053</w:t>
        </w:r>
      </w:sdtContent>
    </w:sdt>
    <w:r>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Apply building codes and standards to the construction process for Class 2 to 9 Type C buildings</w:t>
        </w:r>
      </w:sdtContent>
    </w:sdt>
  </w:p>
  <w:p>
    <w:pPr>
      <w:pBdr>
        <w:bottom w:val="single" w:color="auto" w:sz="4" w:space="1"/>
      </w:pBdr>
      <w:tabs>
        <w:tab w:val="right" w:pos="9639"/>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5981943"/>
    <w:multiLevelType w:val="multilevel"/>
    <w:tmpl w:val="1598194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8133AE1"/>
    <w:multiLevelType w:val="multilevel"/>
    <w:tmpl w:val="18133AE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1FF52AB1"/>
    <w:multiLevelType w:val="multilevel"/>
    <w:tmpl w:val="1FF52AB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7BAB263B"/>
    <w:multiLevelType w:val="multilevel"/>
    <w:tmpl w:val="7BAB263B"/>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evenAndOddHeaders w:val="1"/>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ExODU4OTgyZTZjYjg0YzUzNzA1YzUxMmJhYmJhYWUifQ=="/>
  </w:docVars>
  <w:rsids>
    <w:rsidRoot w:val="00AA0F01"/>
    <w:rsid w:val="000262CD"/>
    <w:rsid w:val="00042DC1"/>
    <w:rsid w:val="0008368F"/>
    <w:rsid w:val="00086D65"/>
    <w:rsid w:val="000A359C"/>
    <w:rsid w:val="000E275F"/>
    <w:rsid w:val="000E6964"/>
    <w:rsid w:val="00195F4B"/>
    <w:rsid w:val="001E4066"/>
    <w:rsid w:val="002966A6"/>
    <w:rsid w:val="002D412E"/>
    <w:rsid w:val="002E71A1"/>
    <w:rsid w:val="003707F3"/>
    <w:rsid w:val="003B1C04"/>
    <w:rsid w:val="00405B7A"/>
    <w:rsid w:val="00491043"/>
    <w:rsid w:val="004A7014"/>
    <w:rsid w:val="004C79E4"/>
    <w:rsid w:val="005C6694"/>
    <w:rsid w:val="005E11E6"/>
    <w:rsid w:val="00673CF1"/>
    <w:rsid w:val="006C37FD"/>
    <w:rsid w:val="00742C82"/>
    <w:rsid w:val="007639BF"/>
    <w:rsid w:val="00774DBB"/>
    <w:rsid w:val="007D5F43"/>
    <w:rsid w:val="00800479"/>
    <w:rsid w:val="008045D9"/>
    <w:rsid w:val="00863122"/>
    <w:rsid w:val="008727DC"/>
    <w:rsid w:val="008772A5"/>
    <w:rsid w:val="009C5132"/>
    <w:rsid w:val="00A13A49"/>
    <w:rsid w:val="00A77466"/>
    <w:rsid w:val="00AA0F01"/>
    <w:rsid w:val="00AD63EE"/>
    <w:rsid w:val="00BA5E42"/>
    <w:rsid w:val="00BD7D15"/>
    <w:rsid w:val="00C633D3"/>
    <w:rsid w:val="00D55BE0"/>
    <w:rsid w:val="00D73E5E"/>
    <w:rsid w:val="00DF7E8E"/>
    <w:rsid w:val="00E01439"/>
    <w:rsid w:val="00E01B94"/>
    <w:rsid w:val="00E3137C"/>
    <w:rsid w:val="00E4164B"/>
    <w:rsid w:val="00E47AA8"/>
    <w:rsid w:val="00E84220"/>
    <w:rsid w:val="00E84316"/>
    <w:rsid w:val="00F10A38"/>
    <w:rsid w:val="00FA1572"/>
    <w:rsid w:val="00FA2BE9"/>
    <w:rsid w:val="00FA6297"/>
    <w:rsid w:val="00FC439C"/>
    <w:rsid w:val="3E29369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2"/>
    <w:basedOn w:val="1"/>
    <w:next w:val="1"/>
    <w:unhideWhenUsed/>
    <w:qFormat/>
    <w:uiPriority w:val="9"/>
    <w:pPr>
      <w:keepNext/>
      <w:keepLines/>
      <w:outlineLvl w:val="1"/>
    </w:pPr>
    <w:rPr>
      <w:rFonts w:asciiTheme="majorHAnsi" w:hAnsiTheme="majorHAnsi" w:eastAsiaTheme="majorEastAsia" w:cstheme="majorBidi"/>
      <w:color w:val="2F5597" w:themeColor="accent1" w:themeShade="BF"/>
      <w:sz w:val="26"/>
      <w:szCs w:val="26"/>
    </w:rPr>
  </w:style>
  <w:style w:type="paragraph" w:styleId="3">
    <w:name w:val="heading 3"/>
    <w:basedOn w:val="1"/>
    <w:next w:val="1"/>
    <w:unhideWhenUsed/>
    <w:qFormat/>
    <w:uiPriority w:val="9"/>
    <w:pPr>
      <w:keepNext/>
      <w:keepLines/>
      <w:outlineLvl w:val="2"/>
    </w:pPr>
    <w:rPr>
      <w:rFonts w:asciiTheme="majorHAnsi" w:hAnsiTheme="majorHAnsi" w:eastAsiaTheme="majorEastAsia" w:cstheme="majorBidi"/>
      <w:color w:val="203864" w:themeColor="accent1" w:themeShade="80"/>
      <w:sz w:val="24"/>
      <w:szCs w:val="24"/>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4">
    <w:name w:val="footer"/>
    <w:basedOn w:val="1"/>
    <w:link w:val="11"/>
    <w:unhideWhenUsed/>
    <w:qFormat/>
    <w:uiPriority w:val="99"/>
    <w:pPr>
      <w:tabs>
        <w:tab w:val="center" w:pos="4513"/>
        <w:tab w:val="right" w:pos="9026"/>
      </w:tabs>
      <w:spacing w:after="0" w:line="240" w:lineRule="auto"/>
    </w:pPr>
  </w:style>
  <w:style w:type="paragraph" w:styleId="5">
    <w:name w:val="header"/>
    <w:basedOn w:val="1"/>
    <w:link w:val="10"/>
    <w:unhideWhenUsed/>
    <w:uiPriority w:val="99"/>
    <w:pPr>
      <w:tabs>
        <w:tab w:val="center" w:pos="4513"/>
        <w:tab w:val="right" w:pos="9026"/>
      </w:tabs>
      <w:spacing w:after="0" w:line="240" w:lineRule="auto"/>
    </w:pPr>
  </w:style>
  <w:style w:type="paragraph" w:styleId="6">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styleId="9">
    <w:name w:val="Hyperlink"/>
    <w:basedOn w:val="8"/>
    <w:semiHidden/>
    <w:unhideWhenUsed/>
    <w:uiPriority w:val="99"/>
    <w:rPr>
      <w:color w:val="0000FF"/>
      <w:u w:val="single"/>
    </w:rPr>
  </w:style>
  <w:style w:type="character" w:customStyle="1" w:styleId="10">
    <w:name w:val="Header Char"/>
    <w:basedOn w:val="8"/>
    <w:link w:val="5"/>
    <w:uiPriority w:val="99"/>
  </w:style>
  <w:style w:type="character" w:customStyle="1" w:styleId="11">
    <w:name w:val="Footer Char"/>
    <w:basedOn w:val="8"/>
    <w:link w:val="4"/>
    <w:qFormat/>
    <w:uiPriority w:val="99"/>
  </w:style>
  <w:style w:type="paragraph" w:customStyle="1" w:styleId="12">
    <w:name w:val="(22) TA Hidden Written Response"/>
    <w:link w:val="13"/>
    <w:qFormat/>
    <w:uiPriority w:val="0"/>
    <w:pPr>
      <w:spacing w:after="0" w:line="480" w:lineRule="exact"/>
      <w:contextualSpacing/>
      <w:jc w:val="both"/>
    </w:pPr>
    <w:rPr>
      <w:rFonts w:ascii="Arial" w:hAnsi="Arial" w:cs="Arial" w:eastAsiaTheme="minorHAnsi"/>
      <w:vanish/>
      <w:color w:val="002060"/>
      <w:sz w:val="22"/>
      <w:szCs w:val="22"/>
      <w:lang w:val="en-AU" w:eastAsia="en-US" w:bidi="ar-SA"/>
    </w:rPr>
  </w:style>
  <w:style w:type="character" w:customStyle="1" w:styleId="13">
    <w:name w:val="(22) TA Hidden Written Response Char"/>
    <w:basedOn w:val="8"/>
    <w:link w:val="12"/>
    <w:qFormat/>
    <w:uiPriority w:val="0"/>
    <w:rPr>
      <w:rFonts w:ascii="Arial" w:hAnsi="Arial" w:cs="Arial"/>
      <w:vanish/>
      <w:color w:val="002060"/>
    </w:rPr>
  </w:style>
  <w:style w:type="paragraph" w:styleId="14">
    <w:name w:val="List Paragraph"/>
    <w:basedOn w:val="1"/>
    <w:qFormat/>
    <w:uiPriority w:val="34"/>
    <w:pPr>
      <w:ind w:left="720"/>
      <w:contextualSpacing/>
    </w:pPr>
  </w:style>
  <w:style w:type="character" w:styleId="15">
    <w:name w:val="Placeholder Text"/>
    <w:basedOn w:val="8"/>
    <w:semiHidden/>
    <w:qFormat/>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glossaryDocument" Target="glossary/document.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C5C7C18579E84A3A97162A87960AD481"/>
        <w:style w:val=""/>
        <w:category>
          <w:name w:val="General"/>
          <w:gallery w:val="placeholder"/>
        </w:category>
        <w:types>
          <w:type w:val="bbPlcHdr"/>
        </w:types>
        <w:behaviors>
          <w:behavior w:val="content"/>
        </w:behaviors>
        <w:description w:val=""/>
        <w:guid w:val="{55E6BEF8-586B-4A5C-ABD0-76E8BE2080BC}"/>
      </w:docPartPr>
      <w:docPartBody>
        <w:p>
          <w:r>
            <w:rPr>
              <w:rStyle w:val="4"/>
            </w:rPr>
            <w:t>[Category]</w:t>
          </w:r>
        </w:p>
      </w:docPartBody>
    </w:docPart>
    <w:docPart>
      <w:docPartPr>
        <w:name w:val="1F70B64AFB6F44BF82C0BC8CE63356A0"/>
        <w:style w:val=""/>
        <w:category>
          <w:name w:val="General"/>
          <w:gallery w:val="placeholder"/>
        </w:category>
        <w:types>
          <w:type w:val="bbPlcHdr"/>
        </w:types>
        <w:behaviors>
          <w:behavior w:val="content"/>
        </w:behaviors>
        <w:description w:val=""/>
        <w:guid w:val="{2F5F7FA4-3149-432F-B788-462E5EE4D170}"/>
      </w:docPartPr>
      <w:docPartBody>
        <w:p>
          <w:r>
            <w:rPr>
              <w:rStyle w:val="4"/>
            </w:rPr>
            <w:t>[Category]</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447"/>
    <w:rsid w:val="002A1447"/>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unhideWhenUsed="0" w:uiPriority="99" w:name="Placeholder Text"/>
  </w:latentStyles>
  <w:style w:type="paragraph" w:default="1" w:styleId="1">
    <w:name w:val="Normal"/>
    <w:qFormat/>
    <w:uiPriority w:val="0"/>
    <w:pPr>
      <w:spacing w:after="160" w:line="259" w:lineRule="auto"/>
    </w:pPr>
    <w:rPr>
      <w:rFonts w:cs="Times New Roman" w:asciiTheme="minorHAnsi" w:hAnsiTheme="minorHAnsi" w:eastAsiaTheme="minorEastAsia"/>
      <w:kern w:val="2"/>
      <w:sz w:val="3276"/>
      <w:szCs w:val="3276"/>
      <w:lang w:val="en-AU" w:eastAsia="en-AU" w:bidi="ar-SA"/>
      <w14:ligatures w14:val="standardContextual"/>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366</Words>
  <Characters>2088</Characters>
  <Lines>17</Lines>
  <Paragraphs>4</Paragraphs>
  <TotalTime>0</TotalTime>
  <ScaleCrop>false</ScaleCrop>
  <LinksUpToDate>false</LinksUpToDate>
  <CharactersWithSpaces>2450</CharactersWithSpaces>
  <Application>WPS Office_12.1.0.15946_F1E327BC-269C-435d-A152-05C5408002CA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Handout 1</cp:category>
  <dcterms:created xsi:type="dcterms:W3CDTF">2023-03-07T00:17:00Z</dcterms:created>
  <dc:creator>Heidi Newton</dc:creator>
  <cp:lastModifiedBy>Administrator</cp:lastModifiedBy>
  <cp:lastPrinted>2022-02-08T03:08:00Z</cp:lastPrinted>
  <dcterms:modified xsi:type="dcterms:W3CDTF">2024-01-02T00:04:36Z</dcterms:modified>
  <dc:subject>Apply building codes and standards to the construction process for Class 2 to 9 Type C buildings</dc:subject>
  <dc:title>CPCCBC4053</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2052-12.1.0.15946</vt:lpwstr>
  </property>
  <property fmtid="{D5CDD505-2E9C-101B-9397-08002B2CF9AE}" pid="3" name="ICV">
    <vt:lpwstr>DA66FC69ADDF4664A075B871654B4807_12</vt:lpwstr>
  </property>
</Properties>
</file>