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Risk Register Template</w:t>
      </w:r>
    </w:p>
    <w:p>
      <w:pPr>
        <w:spacing w:before="120" w:after="120" w:line="276" w:lineRule="auto"/>
        <w:ind w:right="86"/>
        <w:rPr>
          <w:rFonts w:cstheme="minorHAnsi"/>
          <w:color w:val="404040" w:themeColor="text1" w:themeTint="BF"/>
          <w:sz w:val="20"/>
          <w:szCs w:val="20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</w:p>
    <w:tbl>
      <w:tblPr>
        <w:tblStyle w:val="10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5000" w:type="pct"/>
            <w:vAlign w:val="center"/>
          </w:tcPr>
          <w:p>
            <w:pPr>
              <w:spacing w:before="144" w:beforeLines="60" w:after="144" w:afterLines="60"/>
              <w:outlineLvl w:val="0"/>
              <w:rPr>
                <w:rFonts w:hint="default" w:ascii="Arial" w:hAnsi="Arial" w:eastAsia="宋体" w:cs="Arial"/>
                <w:b/>
                <w:color w:val="404040" w:themeColor="text1" w:themeTint="B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Project Name: </w:t>
            </w:r>
            <w:r>
              <w:rPr>
                <w:rFonts w:hint="eastAsia" w:ascii="Arial" w:hAnsi="Arial" w:eastAsia="宋体" w:cs="Arial"/>
                <w:b/>
                <w:color w:val="404040" w:themeColor="text1" w:themeTint="B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granny flat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5000" w:type="pct"/>
            <w:vAlign w:val="center"/>
          </w:tcPr>
          <w:p>
            <w:pPr>
              <w:spacing w:before="144" w:beforeLines="60" w:after="144" w:afterLines="60"/>
              <w:outlineLvl w:val="0"/>
              <w:rPr>
                <w:rFonts w:hint="default" w:ascii="Arial" w:hAnsi="Arial" w:eastAsia="宋体" w:cs="Arial"/>
                <w:b/>
                <w:color w:val="404040" w:themeColor="text1" w:themeTint="B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Prepared by: </w:t>
            </w:r>
            <w:r>
              <w:rPr>
                <w:rFonts w:hint="eastAsia" w:ascii="Arial" w:hAnsi="Arial" w:eastAsia="宋体" w:cs="Arial"/>
                <w:b/>
                <w:color w:val="404040" w:themeColor="text1" w:themeTint="B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dawn construction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5000" w:type="pct"/>
            <w:vAlign w:val="center"/>
          </w:tcPr>
          <w:p>
            <w:pPr>
              <w:spacing w:before="144" w:beforeLines="60" w:after="144" w:afterLines="60"/>
              <w:outlineLvl w:val="0"/>
              <w:rPr>
                <w:rFonts w:hint="default" w:ascii="Arial" w:hAnsi="Arial" w:eastAsia="宋体" w:cs="Arial"/>
                <w:b/>
                <w:color w:val="404040" w:themeColor="text1" w:themeTint="B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Date: </w:t>
            </w:r>
            <w:r>
              <w:rPr>
                <w:rFonts w:hint="eastAsia" w:ascii="Arial" w:hAnsi="Arial" w:eastAsia="宋体" w:cs="Arial"/>
                <w:b/>
                <w:color w:val="404040" w:themeColor="text1" w:themeTint="BF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06/06/23</w:t>
            </w:r>
          </w:p>
        </w:tc>
      </w:tr>
    </w:tbl>
    <w:p>
      <w:pPr>
        <w:spacing w:before="120" w:after="120"/>
        <w:rPr>
          <w:rFonts w:ascii="Arial" w:hAnsi="Arial" w:cs="Arial"/>
          <w:b/>
          <w:color w:val="404040" w:themeColor="text1" w:themeTint="BF"/>
          <w:sz w:val="20"/>
          <w:szCs w:val="20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</w:p>
    <w:p>
      <w:pPr>
        <w:spacing w:before="120" w:after="120"/>
        <w:rPr>
          <w:rFonts w:ascii="Arial" w:hAnsi="Arial" w:cs="Arial"/>
          <w:b/>
          <w:color w:val="404040" w:themeColor="text1" w:themeTint="BF"/>
          <w:sz w:val="20"/>
          <w:szCs w:val="20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Risk Rating Matrix</w:t>
      </w:r>
    </w:p>
    <w:p>
      <w:pPr>
        <w:spacing w:before="120" w:after="120"/>
        <w:rPr>
          <w:rFonts w:cstheme="minorHAnsi"/>
          <w:bCs/>
          <w:color w:val="404040" w:themeColor="text1" w:themeTint="BF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cstheme="minorHAnsi"/>
          <w:b/>
          <w:color w:val="404040" w:themeColor="text1" w:themeTint="BF"/>
          <w:sz w:val="20"/>
          <w:szCs w:val="20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 xml:space="preserve">Note: </w:t>
      </w:r>
      <w:r>
        <w:rPr>
          <w:rFonts w:cstheme="minorHAnsi"/>
          <w:bCs/>
          <w:color w:val="404040" w:themeColor="text1" w:themeTint="BF"/>
          <w:sz w:val="20"/>
          <w:szCs w:val="20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The risk rating matrix below is not designed for a specific project. You must still update the table below to reflect the risk rating matrix to be applied to the project you are undertaking as part of the assessment.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0"/>
        <w:gridCol w:w="2361"/>
        <w:gridCol w:w="2361"/>
        <w:gridCol w:w="2361"/>
        <w:gridCol w:w="2361"/>
        <w:gridCol w:w="2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" w:type="pct"/>
            <w:vMerge w:val="restart"/>
            <w:shd w:val="clear" w:color="auto" w:fill="3F3F3F" w:themeFill="text1" w:themeFillTint="BF"/>
            <w:vAlign w:val="center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Likelihood</w:t>
            </w:r>
          </w:p>
        </w:tc>
        <w:tc>
          <w:tcPr>
            <w:tcW w:w="4167" w:type="pct"/>
            <w:gridSpan w:val="5"/>
            <w:shd w:val="clear" w:color="auto" w:fill="3F3F3F" w:themeFill="text1" w:themeFillTint="BF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Consequence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" w:type="pct"/>
            <w:vMerge w:val="continue"/>
            <w:shd w:val="clear" w:color="auto" w:fill="3F3F3F" w:themeFill="text1" w:themeFillTint="BF"/>
          </w:tcPr>
          <w:p>
            <w:pPr>
              <w:spacing w:before="144" w:beforeLines="60" w:after="144" w:afterLines="60" w:line="276" w:lineRule="auto"/>
              <w:ind w:left="792" w:right="101" w:hanging="360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833" w:type="pct"/>
            <w:shd w:val="clear" w:color="auto" w:fill="7E7E7E" w:themeFill="text1" w:themeFillTint="80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Insignificant</w:t>
            </w:r>
          </w:p>
        </w:tc>
        <w:tc>
          <w:tcPr>
            <w:tcW w:w="833" w:type="pct"/>
            <w:shd w:val="clear" w:color="auto" w:fill="7E7E7E" w:themeFill="text1" w:themeFillTint="80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Minor</w:t>
            </w:r>
          </w:p>
        </w:tc>
        <w:tc>
          <w:tcPr>
            <w:tcW w:w="833" w:type="pct"/>
            <w:shd w:val="clear" w:color="auto" w:fill="7E7E7E" w:themeFill="text1" w:themeFillTint="80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Moderate</w:t>
            </w:r>
          </w:p>
        </w:tc>
        <w:tc>
          <w:tcPr>
            <w:tcW w:w="833" w:type="pct"/>
            <w:shd w:val="clear" w:color="auto" w:fill="7E7E7E" w:themeFill="text1" w:themeFillTint="80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Major</w:t>
            </w:r>
          </w:p>
        </w:tc>
        <w:tc>
          <w:tcPr>
            <w:tcW w:w="835" w:type="pct"/>
            <w:shd w:val="clear" w:color="auto" w:fill="7E7E7E" w:themeFill="text1" w:themeFillTint="80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Severe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" w:type="pct"/>
            <w:vMerge w:val="continue"/>
            <w:shd w:val="clear" w:color="auto" w:fill="3F3F3F" w:themeFill="text1" w:themeFillTint="BF"/>
          </w:tcPr>
          <w:p>
            <w:pPr>
              <w:spacing w:before="144" w:beforeLines="60" w:after="144" w:afterLines="60" w:line="276" w:lineRule="auto"/>
              <w:ind w:left="0" w:right="101" w:firstLine="0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833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1</w:t>
            </w:r>
          </w:p>
        </w:tc>
        <w:tc>
          <w:tcPr>
            <w:tcW w:w="833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2</w:t>
            </w:r>
          </w:p>
        </w:tc>
        <w:tc>
          <w:tcPr>
            <w:tcW w:w="833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3</w:t>
            </w:r>
          </w:p>
        </w:tc>
        <w:tc>
          <w:tcPr>
            <w:tcW w:w="833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4</w:t>
            </w:r>
          </w:p>
        </w:tc>
        <w:tc>
          <w:tcPr>
            <w:tcW w:w="835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A (Almost certain)</w:t>
            </w:r>
          </w:p>
        </w:tc>
        <w:tc>
          <w:tcPr>
            <w:tcW w:w="833" w:type="pct"/>
            <w:shd w:val="clear" w:color="auto" w:fill="FF7C8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High</w:t>
            </w:r>
          </w:p>
        </w:tc>
        <w:tc>
          <w:tcPr>
            <w:tcW w:w="833" w:type="pct"/>
            <w:shd w:val="clear" w:color="auto" w:fill="FF7C8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High</w:t>
            </w:r>
          </w:p>
        </w:tc>
        <w:tc>
          <w:tcPr>
            <w:tcW w:w="833" w:type="pct"/>
            <w:shd w:val="clear" w:color="auto" w:fill="FF505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Very High</w:t>
            </w:r>
          </w:p>
        </w:tc>
        <w:tc>
          <w:tcPr>
            <w:tcW w:w="833" w:type="pct"/>
            <w:shd w:val="clear" w:color="auto" w:fill="FF505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Very High</w:t>
            </w:r>
          </w:p>
        </w:tc>
        <w:tc>
          <w:tcPr>
            <w:tcW w:w="835" w:type="pct"/>
            <w:shd w:val="clear" w:color="auto" w:fill="FF505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Very High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B (Likely)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High</w:t>
            </w:r>
          </w:p>
        </w:tc>
        <w:tc>
          <w:tcPr>
            <w:tcW w:w="833" w:type="pct"/>
            <w:shd w:val="clear" w:color="auto" w:fill="FF7C8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High</w:t>
            </w:r>
          </w:p>
        </w:tc>
        <w:tc>
          <w:tcPr>
            <w:tcW w:w="833" w:type="pct"/>
            <w:shd w:val="clear" w:color="auto" w:fill="FF505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Very High</w:t>
            </w:r>
          </w:p>
        </w:tc>
        <w:tc>
          <w:tcPr>
            <w:tcW w:w="835" w:type="pct"/>
            <w:shd w:val="clear" w:color="auto" w:fill="FF505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Very High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C (Possible)</w:t>
            </w:r>
          </w:p>
        </w:tc>
        <w:tc>
          <w:tcPr>
            <w:tcW w:w="833" w:type="pct"/>
            <w:shd w:val="clear" w:color="auto" w:fill="FFD965" w:themeFill="accent4" w:themeFillTint="99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Low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High</w:t>
            </w:r>
          </w:p>
        </w:tc>
        <w:tc>
          <w:tcPr>
            <w:tcW w:w="833" w:type="pct"/>
            <w:shd w:val="clear" w:color="auto" w:fill="FF505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Very High</w:t>
            </w:r>
          </w:p>
        </w:tc>
        <w:tc>
          <w:tcPr>
            <w:tcW w:w="835" w:type="pct"/>
            <w:shd w:val="clear" w:color="auto" w:fill="FF505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Very High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D (Unlikely)</w:t>
            </w:r>
          </w:p>
        </w:tc>
        <w:tc>
          <w:tcPr>
            <w:tcW w:w="833" w:type="pct"/>
            <w:shd w:val="clear" w:color="auto" w:fill="FFD965" w:themeFill="accent4" w:themeFillTint="99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Low</w:t>
            </w:r>
          </w:p>
        </w:tc>
        <w:tc>
          <w:tcPr>
            <w:tcW w:w="833" w:type="pct"/>
            <w:shd w:val="clear" w:color="auto" w:fill="FFD965" w:themeFill="accent4" w:themeFillTint="99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Low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High</w:t>
            </w:r>
          </w:p>
        </w:tc>
        <w:tc>
          <w:tcPr>
            <w:tcW w:w="835" w:type="pct"/>
            <w:shd w:val="clear" w:color="auto" w:fill="FF505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Very High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" w:type="pct"/>
            <w:shd w:val="clear" w:color="auto" w:fill="E7E6E6" w:themeFill="background2"/>
          </w:tcPr>
          <w:p>
            <w:pPr>
              <w:spacing w:before="144" w:beforeLines="60" w:after="144" w:afterLines="60" w:line="276" w:lineRule="auto"/>
              <w:ind w:left="0" w:right="101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E (Rare)</w:t>
            </w:r>
          </w:p>
        </w:tc>
        <w:tc>
          <w:tcPr>
            <w:tcW w:w="833" w:type="pct"/>
            <w:shd w:val="clear" w:color="auto" w:fill="FFD965" w:themeFill="accent4" w:themeFillTint="99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Low</w:t>
            </w:r>
          </w:p>
        </w:tc>
        <w:tc>
          <w:tcPr>
            <w:tcW w:w="833" w:type="pct"/>
            <w:shd w:val="clear" w:color="auto" w:fill="FFD965" w:themeFill="accent4" w:themeFillTint="99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Low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High</w:t>
            </w:r>
          </w:p>
        </w:tc>
        <w:tc>
          <w:tcPr>
            <w:tcW w:w="835" w:type="pct"/>
            <w:shd w:val="clear" w:color="auto" w:fill="FF7C80"/>
          </w:tcPr>
          <w:p>
            <w:pPr>
              <w:spacing w:before="144" w:beforeLines="60" w:after="144" w:afterLines="60" w:line="276" w:lineRule="auto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High</w:t>
            </w:r>
          </w:p>
        </w:tc>
      </w:tr>
    </w:tbl>
    <w:p>
      <w:pPr>
        <w:rPr>
          <w:rFonts w:ascii="Arial" w:hAnsi="Arial" w:cs="Arial"/>
          <w:b/>
          <w:color w:val="404040" w:themeColor="text1" w:themeTint="BF"/>
          <w:sz w:val="18"/>
          <w:szCs w:val="1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ascii="Arial" w:hAnsi="Arial" w:cs="Arial"/>
          <w:b/>
          <w:color w:val="404040" w:themeColor="text1" w:themeTint="BF"/>
          <w:sz w:val="18"/>
          <w:szCs w:val="1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br w:type="page"/>
      </w:r>
    </w:p>
    <w:p>
      <w:pPr>
        <w:spacing w:before="120" w:after="120"/>
        <w:rPr>
          <w:rFonts w:cstheme="minorHAnsi"/>
          <w:bCs/>
          <w:color w:val="404040" w:themeColor="text1" w:themeTint="BF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cstheme="minorHAnsi"/>
          <w:b/>
          <w:color w:val="404040" w:themeColor="text1" w:themeTint="BF"/>
          <w:sz w:val="20"/>
          <w:szCs w:val="20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 xml:space="preserve">Note: </w:t>
      </w:r>
      <w:r>
        <w:rPr>
          <w:rFonts w:cstheme="minorHAnsi"/>
          <w:bCs/>
          <w:color w:val="404040" w:themeColor="text1" w:themeTint="BF"/>
          <w:sz w:val="20"/>
          <w:szCs w:val="20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The descriptions below are not designed for a specific project. You must still update these descriptions to reflect the classification criteria to be applied to the project you are undertaking.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2"/>
        <w:gridCol w:w="112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  <w:shd w:val="clear" w:color="auto" w:fill="3F3F3F" w:themeFill="text1" w:themeFillTint="BF"/>
          </w:tcPr>
          <w:p>
            <w:pPr>
              <w:spacing w:before="144" w:beforeLines="60" w:after="144" w:afterLines="60" w:line="276" w:lineRule="auto"/>
              <w:ind w:left="792" w:right="101" w:hanging="36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LIKELIHOOD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1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A (Almost certain)</w:t>
            </w:r>
          </w:p>
        </w:tc>
        <w:tc>
          <w:tcPr>
            <w:tcW w:w="3969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Is expected to occur in most circumstances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1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B (Likely)</w:t>
            </w:r>
          </w:p>
        </w:tc>
        <w:tc>
          <w:tcPr>
            <w:tcW w:w="3969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Will probably occur in most circumstances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1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C (Possible)</w:t>
            </w:r>
          </w:p>
        </w:tc>
        <w:tc>
          <w:tcPr>
            <w:tcW w:w="3969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Could occur at some time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1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D (Unlikely)</w:t>
            </w:r>
          </w:p>
        </w:tc>
        <w:tc>
          <w:tcPr>
            <w:tcW w:w="3969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Not likely to occur in normal circumstances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1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E (Rare)</w:t>
            </w:r>
          </w:p>
        </w:tc>
        <w:tc>
          <w:tcPr>
            <w:tcW w:w="3969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May occur only in exceptional circumstances</w:t>
            </w:r>
          </w:p>
        </w:tc>
      </w:tr>
    </w:tbl>
    <w:p>
      <w:pPr>
        <w:spacing w:before="144" w:beforeLines="60" w:after="144" w:afterLines="60"/>
        <w:rPr>
          <w:rFonts w:ascii="Arial" w:hAnsi="Arial" w:cs="Arial"/>
          <w:b/>
          <w:color w:val="404040" w:themeColor="text1" w:themeTint="BF"/>
          <w:sz w:val="18"/>
          <w:szCs w:val="1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5"/>
        <w:gridCol w:w="11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  <w:shd w:val="clear" w:color="auto" w:fill="3F3F3F" w:themeFill="text1" w:themeFillTint="BF"/>
          </w:tcPr>
          <w:p>
            <w:pPr>
              <w:spacing w:before="144" w:beforeLines="60" w:after="144" w:afterLines="60" w:line="276" w:lineRule="auto"/>
              <w:ind w:left="792" w:right="101" w:hanging="36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CONSEQUENCE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8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2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Insignificant</w:t>
            </w:r>
          </w:p>
        </w:tc>
        <w:tc>
          <w:tcPr>
            <w:tcW w:w="3982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Minor injuries, external reputation not affected, no environmental damage, threat of litigation, etc.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8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2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Minor</w:t>
            </w:r>
          </w:p>
        </w:tc>
        <w:tc>
          <w:tcPr>
            <w:tcW w:w="3982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Minor casualties that require medical attention off-site, no long term effects, external reputation minimally affected, minor environmental damage, single minor litigation, etc.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8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2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Moderate</w:t>
            </w:r>
          </w:p>
        </w:tc>
        <w:tc>
          <w:tcPr>
            <w:tcW w:w="3982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Several casualties that require hospitalisation with no long term effects, some environmental damage, single moderate litigation, etc.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8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2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Major</w:t>
            </w:r>
          </w:p>
        </w:tc>
        <w:tc>
          <w:tcPr>
            <w:tcW w:w="3982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Serious casualties, external reputation severely damaged, would cause extensive environmental damage, single major litigation, etc.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8" w:type="pct"/>
            <w:shd w:val="clear" w:color="auto" w:fill="E7E6E6" w:themeFill="background2"/>
          </w:tcPr>
          <w:p>
            <w:pPr>
              <w:pStyle w:val="18"/>
              <w:numPr>
                <w:ilvl w:val="0"/>
                <w:numId w:val="2"/>
              </w:numPr>
              <w:spacing w:before="144" w:beforeLines="60" w:after="144" w:afterLines="60" w:line="276" w:lineRule="auto"/>
              <w:ind w:right="101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Severe</w:t>
            </w:r>
          </w:p>
        </w:tc>
        <w:tc>
          <w:tcPr>
            <w:tcW w:w="3982" w:type="pct"/>
            <w:shd w:val="clear" w:color="auto" w:fill="FFFFFF" w:themeFill="background1"/>
          </w:tcPr>
          <w:p>
            <w:pPr>
              <w:spacing w:before="144" w:beforeLines="60" w:after="144" w:afterLines="60" w:line="276" w:lineRule="auto"/>
              <w:ind w:left="0" w:right="101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Legal consequences, multiple litigations, termination of the contract, loss of life, permanent disability, external reputation irrevocably damaged, catastrophic environmental damage, etc.</w:t>
            </w:r>
          </w:p>
        </w:tc>
      </w:tr>
    </w:tbl>
    <w:p>
      <w:pPr>
        <w:spacing w:before="144" w:beforeLines="60" w:after="144" w:afterLines="60"/>
        <w:rPr>
          <w:rFonts w:ascii="Arial" w:hAnsi="Arial" w:cs="Arial"/>
          <w:b/>
          <w:color w:val="404040" w:themeColor="text1" w:themeTint="BF"/>
          <w:sz w:val="18"/>
          <w:szCs w:val="1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</w:p>
    <w:p>
      <w:pPr>
        <w:spacing w:before="144" w:beforeLines="60" w:after="144" w:afterLines="60"/>
        <w:rPr>
          <w:rFonts w:ascii="Arial" w:hAnsi="Arial" w:cs="Arial"/>
          <w:b/>
          <w:color w:val="404040" w:themeColor="text1" w:themeTint="BF"/>
          <w:sz w:val="18"/>
          <w:szCs w:val="1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</w:p>
    <w:p>
      <w:pPr>
        <w:spacing w:before="144" w:beforeLines="60" w:after="144" w:afterLines="60"/>
        <w:rPr>
          <w:rFonts w:ascii="Arial" w:hAnsi="Arial" w:cs="Arial"/>
          <w:b/>
          <w:color w:val="404040" w:themeColor="text1" w:themeTint="BF"/>
          <w:sz w:val="18"/>
          <w:szCs w:val="1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sectPr>
          <w:footerReference r:id="rId5" w:type="default"/>
          <w:footerReference r:id="rId6" w:type="even"/>
          <w:type w:val="continuous"/>
          <w:pgSz w:w="16834" w:h="11909" w:orient="landscape"/>
          <w:pgMar w:top="1134" w:right="1440" w:bottom="1440" w:left="1440" w:header="680" w:footer="680" w:gutter="0"/>
          <w:cols w:space="708" w:num="1"/>
          <w:docGrid w:linePitch="360" w:charSpace="0"/>
        </w:sectPr>
      </w:pPr>
    </w:p>
    <w:tbl>
      <w:tblPr>
        <w:tblStyle w:val="10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2022"/>
        <w:gridCol w:w="2022"/>
        <w:gridCol w:w="2022"/>
        <w:gridCol w:w="2022"/>
        <w:gridCol w:w="2022"/>
        <w:gridCol w:w="2022"/>
        <w:gridCol w:w="2023"/>
        <w:gridCol w:w="2023"/>
        <w:gridCol w:w="2023"/>
        <w:gridCol w:w="2027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5" w:hRule="exact"/>
          <w:tblHeader/>
        </w:trPr>
        <w:tc>
          <w:tcPr>
            <w:tcW w:w="206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ID</w:t>
            </w:r>
          </w:p>
        </w:tc>
        <w:tc>
          <w:tcPr>
            <w:tcW w:w="479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Date Identified</w:t>
            </w:r>
          </w:p>
        </w:tc>
        <w:tc>
          <w:tcPr>
            <w:tcW w:w="479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Risk location</w:t>
            </w:r>
          </w:p>
        </w:tc>
        <w:tc>
          <w:tcPr>
            <w:tcW w:w="479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Risk Description</w:t>
            </w:r>
          </w:p>
        </w:tc>
        <w:tc>
          <w:tcPr>
            <w:tcW w:w="479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Likelihood of the Risk Occurring</w:t>
            </w:r>
          </w:p>
        </w:tc>
        <w:tc>
          <w:tcPr>
            <w:tcW w:w="479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Impact if the Risk Occurs</w:t>
            </w:r>
          </w:p>
        </w:tc>
        <w:tc>
          <w:tcPr>
            <w:tcW w:w="479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Rating</w:t>
            </w:r>
          </w:p>
        </w:tc>
        <w:tc>
          <w:tcPr>
            <w:tcW w:w="479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Control measure</w:t>
            </w:r>
          </w:p>
        </w:tc>
        <w:tc>
          <w:tcPr>
            <w:tcW w:w="479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Revised Likelihood of the Risk Occurring</w:t>
            </w:r>
          </w:p>
        </w:tc>
        <w:tc>
          <w:tcPr>
            <w:tcW w:w="479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Revised Impact if the Risk Occurs</w:t>
            </w:r>
          </w:p>
        </w:tc>
        <w:tc>
          <w:tcPr>
            <w:tcW w:w="480" w:type="pct"/>
            <w:shd w:val="clear" w:color="auto" w:fill="E7E6E6" w:themeFill="background2"/>
          </w:tcPr>
          <w:p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Revised Risk Rating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roof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falls down from roof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injuries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Inspection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injuries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demolition of a load-bearing element of a structure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injuries, respiratory illnesses, skin diseases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Inspection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and meeting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injuries, respiratory illnesses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diving work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Eye strain and damage, difficult breathing to asphyxiation, physical strain, psychological stress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  Workplace Inspection   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Eye strain and damage, psychological stress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carried out in or near water or other liquid that involves a risk of drowning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injuries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Inspection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injuries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carried out in areas with artificial extremes of temperature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Burn, skin illnesses, respiratory illnesses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Inspection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Burn, skin illnesses, respiratory illnesses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6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involves tilt-up or precast concrete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Burn, skin illnesses, respiratory illnesses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Inspection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Burn, skin illnesses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7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 carried out in an area that may have a contaminated or flammable atmosphere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Shock, burns, organ damage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Inspection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Shock, burns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8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 carried out on or near energised electrical installations or services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Shock, burns, organ damage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Inspection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Shock, burns, organ damage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carried out on or near chemical, fuel or refrigerant line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strain, injuries, concussion from falling objects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Inspection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strain, injuries, concussion from falling objects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11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carried out on or near pressurised gas mains or piping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strain, injuries, concussion from falling objects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Inspection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strain, injuries, concussion from falling objects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the use of explosives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Hearing damage,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  Workplace Inspection   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Hearing damage,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carried out in or near a shaft or trench deeper than 1.5 m or a tunne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phsical injury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  Workplace Inspection   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phsical injury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14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05/05/23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external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carried out in or near a confined space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phsical injury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  Workplace Inspection   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phsical injury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</w:trPr>
        <w:tc>
          <w:tcPr>
            <w:tcW w:w="20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7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48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44" w:beforeLines="60" w:after="144" w:afterLines="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BFBFBF" w:themeColor="background1" w:themeShade="BF"/>
          <w:sz w:val="20"/>
        </w:rPr>
      </w:pPr>
    </w:p>
    <w:p>
      <w:pPr>
        <w:spacing w:before="120" w:after="120"/>
        <w:jc w:val="center"/>
        <w:rPr>
          <w:rFonts w:cstheme="minorHAnsi"/>
          <w:color w:val="BFBFBF" w:themeColor="background1" w:themeShade="BF"/>
          <w:sz w:val="20"/>
        </w:rPr>
      </w:pPr>
      <w:r>
        <w:rPr>
          <w:rFonts w:cstheme="minorHAnsi"/>
          <w:color w:val="BFBFBF" w:themeColor="background1" w:themeShade="BF"/>
          <w:sz w:val="20"/>
        </w:rPr>
        <w:t>End of Risk Register</w:t>
      </w:r>
    </w:p>
    <w:sectPr>
      <w:footerReference r:id="rId7" w:type="default"/>
      <w:pgSz w:w="23811" w:h="16838" w:orient="landscape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7088"/>
            <w:tab w:val="right" w:pos="13892"/>
          </w:tabs>
          <w:spacing w:after="0" w:line="240" w:lineRule="auto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7E12F3F4C82B49758F09CD5F0E858A9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990164846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831950965"/>
            <w:placeholder>
              <w:docPart w:val="E5BBE864D9494356B804FB943D73F75E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84420488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10490"/>
            <w:tab w:val="right" w:pos="20927"/>
          </w:tabs>
          <w:spacing w:after="0" w:line="240" w:lineRule="auto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06931338"/>
            <w:placeholder>
              <w:docPart w:val="ECC5E9C721344CE8AEECA8AE6F3BDE0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2835A9"/>
    <w:multiLevelType w:val="multilevel"/>
    <w:tmpl w:val="0B2835A9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67663"/>
    <w:multiLevelType w:val="multilevel"/>
    <w:tmpl w:val="17F67663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8FAPPASDEtAAAA"/>
    <w:docVar w:name="commondata" w:val="eyJoZGlkIjoiZDExODU4OTgyZTZjYjg0YzUzNzA1YzUxMmJhYmJhYWUifQ=="/>
  </w:docVars>
  <w:rsids>
    <w:rsidRoot w:val="002F29A7"/>
    <w:rsid w:val="000055D1"/>
    <w:rsid w:val="00013528"/>
    <w:rsid w:val="00020E52"/>
    <w:rsid w:val="00027E5C"/>
    <w:rsid w:val="00066BED"/>
    <w:rsid w:val="00090E7C"/>
    <w:rsid w:val="000911A1"/>
    <w:rsid w:val="000975D4"/>
    <w:rsid w:val="000A12B0"/>
    <w:rsid w:val="000A25A6"/>
    <w:rsid w:val="000B26D5"/>
    <w:rsid w:val="000C5280"/>
    <w:rsid w:val="000D64E2"/>
    <w:rsid w:val="00111E72"/>
    <w:rsid w:val="00123874"/>
    <w:rsid w:val="0013280A"/>
    <w:rsid w:val="00151E14"/>
    <w:rsid w:val="00156A03"/>
    <w:rsid w:val="001600CB"/>
    <w:rsid w:val="00181C5B"/>
    <w:rsid w:val="0018395A"/>
    <w:rsid w:val="001A1865"/>
    <w:rsid w:val="001A1CEB"/>
    <w:rsid w:val="001B63FD"/>
    <w:rsid w:val="001C77C0"/>
    <w:rsid w:val="001D456C"/>
    <w:rsid w:val="001F02AF"/>
    <w:rsid w:val="0021693B"/>
    <w:rsid w:val="002318BD"/>
    <w:rsid w:val="002436AD"/>
    <w:rsid w:val="002459C7"/>
    <w:rsid w:val="002518F1"/>
    <w:rsid w:val="00260CAD"/>
    <w:rsid w:val="002637DA"/>
    <w:rsid w:val="002850A7"/>
    <w:rsid w:val="00286558"/>
    <w:rsid w:val="002A0ED0"/>
    <w:rsid w:val="002A13C2"/>
    <w:rsid w:val="002A22AD"/>
    <w:rsid w:val="002B6D0D"/>
    <w:rsid w:val="002D6C29"/>
    <w:rsid w:val="002F29A7"/>
    <w:rsid w:val="003072A7"/>
    <w:rsid w:val="00315CD1"/>
    <w:rsid w:val="0032007C"/>
    <w:rsid w:val="00333FA5"/>
    <w:rsid w:val="00337CFE"/>
    <w:rsid w:val="00353E24"/>
    <w:rsid w:val="003648B0"/>
    <w:rsid w:val="0039482B"/>
    <w:rsid w:val="003C1922"/>
    <w:rsid w:val="003C46A3"/>
    <w:rsid w:val="003E25BD"/>
    <w:rsid w:val="003E5A30"/>
    <w:rsid w:val="003E6FE7"/>
    <w:rsid w:val="003E73D8"/>
    <w:rsid w:val="003F323F"/>
    <w:rsid w:val="003F695D"/>
    <w:rsid w:val="003F6E30"/>
    <w:rsid w:val="0040724A"/>
    <w:rsid w:val="004606DB"/>
    <w:rsid w:val="00467457"/>
    <w:rsid w:val="004831EC"/>
    <w:rsid w:val="00484193"/>
    <w:rsid w:val="00487E4E"/>
    <w:rsid w:val="004E3825"/>
    <w:rsid w:val="004E5CE5"/>
    <w:rsid w:val="004F4C8C"/>
    <w:rsid w:val="00510B08"/>
    <w:rsid w:val="005402DA"/>
    <w:rsid w:val="0056508F"/>
    <w:rsid w:val="00571A4E"/>
    <w:rsid w:val="005F379E"/>
    <w:rsid w:val="005F4237"/>
    <w:rsid w:val="0060042F"/>
    <w:rsid w:val="0062445E"/>
    <w:rsid w:val="006376C4"/>
    <w:rsid w:val="006407FF"/>
    <w:rsid w:val="00643394"/>
    <w:rsid w:val="00656D3B"/>
    <w:rsid w:val="00661AF9"/>
    <w:rsid w:val="0068140D"/>
    <w:rsid w:val="00687F58"/>
    <w:rsid w:val="00692A64"/>
    <w:rsid w:val="00695221"/>
    <w:rsid w:val="006974C4"/>
    <w:rsid w:val="006A3EDD"/>
    <w:rsid w:val="006A6FB3"/>
    <w:rsid w:val="006B18BC"/>
    <w:rsid w:val="006B1E12"/>
    <w:rsid w:val="006C75E1"/>
    <w:rsid w:val="006E1245"/>
    <w:rsid w:val="006F4235"/>
    <w:rsid w:val="006F4854"/>
    <w:rsid w:val="006F7C0A"/>
    <w:rsid w:val="00705071"/>
    <w:rsid w:val="0070795A"/>
    <w:rsid w:val="00714E53"/>
    <w:rsid w:val="00716271"/>
    <w:rsid w:val="0072092E"/>
    <w:rsid w:val="00730B38"/>
    <w:rsid w:val="007541DC"/>
    <w:rsid w:val="0075536A"/>
    <w:rsid w:val="00771D94"/>
    <w:rsid w:val="00780C7F"/>
    <w:rsid w:val="00792782"/>
    <w:rsid w:val="007A0D4A"/>
    <w:rsid w:val="007A268A"/>
    <w:rsid w:val="007C66AA"/>
    <w:rsid w:val="007D1DFD"/>
    <w:rsid w:val="007E71D8"/>
    <w:rsid w:val="007E7B23"/>
    <w:rsid w:val="008036A4"/>
    <w:rsid w:val="00810A94"/>
    <w:rsid w:val="00823DE9"/>
    <w:rsid w:val="0083339D"/>
    <w:rsid w:val="0084479A"/>
    <w:rsid w:val="00854E32"/>
    <w:rsid w:val="00862F13"/>
    <w:rsid w:val="00866C00"/>
    <w:rsid w:val="00867B61"/>
    <w:rsid w:val="0088239C"/>
    <w:rsid w:val="008A120A"/>
    <w:rsid w:val="008C68C0"/>
    <w:rsid w:val="008C6C99"/>
    <w:rsid w:val="008D4457"/>
    <w:rsid w:val="008E4229"/>
    <w:rsid w:val="008F0473"/>
    <w:rsid w:val="00914D3F"/>
    <w:rsid w:val="00926BF3"/>
    <w:rsid w:val="009607F6"/>
    <w:rsid w:val="00960F49"/>
    <w:rsid w:val="00967FD8"/>
    <w:rsid w:val="00971458"/>
    <w:rsid w:val="009825CD"/>
    <w:rsid w:val="009905B3"/>
    <w:rsid w:val="009A2CF0"/>
    <w:rsid w:val="009A4ACC"/>
    <w:rsid w:val="009A4B12"/>
    <w:rsid w:val="009B3D69"/>
    <w:rsid w:val="009C6561"/>
    <w:rsid w:val="009E5050"/>
    <w:rsid w:val="009F093C"/>
    <w:rsid w:val="00A113A6"/>
    <w:rsid w:val="00A11D73"/>
    <w:rsid w:val="00A164C3"/>
    <w:rsid w:val="00A32A94"/>
    <w:rsid w:val="00A3355D"/>
    <w:rsid w:val="00A60960"/>
    <w:rsid w:val="00A903E4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661B1"/>
    <w:rsid w:val="00B766E4"/>
    <w:rsid w:val="00B9532D"/>
    <w:rsid w:val="00B97564"/>
    <w:rsid w:val="00BA0312"/>
    <w:rsid w:val="00BA0882"/>
    <w:rsid w:val="00BA17D2"/>
    <w:rsid w:val="00BE2654"/>
    <w:rsid w:val="00C04052"/>
    <w:rsid w:val="00C272E7"/>
    <w:rsid w:val="00C37E8C"/>
    <w:rsid w:val="00C41300"/>
    <w:rsid w:val="00C508E6"/>
    <w:rsid w:val="00C64789"/>
    <w:rsid w:val="00C7379A"/>
    <w:rsid w:val="00CB5D12"/>
    <w:rsid w:val="00CC46FB"/>
    <w:rsid w:val="00CD0A37"/>
    <w:rsid w:val="00CE6C92"/>
    <w:rsid w:val="00CF3CA3"/>
    <w:rsid w:val="00D02DF5"/>
    <w:rsid w:val="00D27154"/>
    <w:rsid w:val="00D3402E"/>
    <w:rsid w:val="00D431B2"/>
    <w:rsid w:val="00D4371F"/>
    <w:rsid w:val="00D46209"/>
    <w:rsid w:val="00D645BA"/>
    <w:rsid w:val="00D74DB8"/>
    <w:rsid w:val="00DA2DC4"/>
    <w:rsid w:val="00DC080F"/>
    <w:rsid w:val="00DD10D7"/>
    <w:rsid w:val="00DF7910"/>
    <w:rsid w:val="00E05431"/>
    <w:rsid w:val="00E143C3"/>
    <w:rsid w:val="00E25721"/>
    <w:rsid w:val="00E433D9"/>
    <w:rsid w:val="00E51D40"/>
    <w:rsid w:val="00E56568"/>
    <w:rsid w:val="00E61E22"/>
    <w:rsid w:val="00E66C8E"/>
    <w:rsid w:val="00E672A6"/>
    <w:rsid w:val="00E90269"/>
    <w:rsid w:val="00EA0588"/>
    <w:rsid w:val="00EA07BB"/>
    <w:rsid w:val="00EB54F4"/>
    <w:rsid w:val="00EE6EAD"/>
    <w:rsid w:val="00EF14E5"/>
    <w:rsid w:val="00EF7AD8"/>
    <w:rsid w:val="00F0402B"/>
    <w:rsid w:val="00F50845"/>
    <w:rsid w:val="00F63EE0"/>
    <w:rsid w:val="00FB2CD7"/>
    <w:rsid w:val="00FB6D00"/>
    <w:rsid w:val="00FB6EF4"/>
    <w:rsid w:val="3FCA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qFormat/>
    <w:uiPriority w:val="34"/>
    <w:rPr>
      <w:lang w:val="en-AU"/>
    </w:rPr>
  </w:style>
  <w:style w:type="character" w:customStyle="1" w:styleId="20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  <w:style w:type="character" w:styleId="26">
    <w:name w:val="Placeholder Text"/>
    <w:basedOn w:val="12"/>
    <w:qFormat/>
    <w:uiPriority w:val="99"/>
    <w:rPr>
      <w:color w:val="808080"/>
    </w:rPr>
  </w:style>
  <w:style w:type="character" w:customStyle="1" w:styleId="27">
    <w:name w:val="normaltextrun"/>
    <w:basedOn w:val="1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4" Type="http://schemas.openxmlformats.org/officeDocument/2006/relationships/fontTable" Target="fontTable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7E12F3F4C82B49758F09CD5F0E858A9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5601CFC-9C3F-4666-815F-9E38822E5699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E5BBE864D9494356B804FB943D73F75E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9D650D0-B9FD-4562-9D50-D0D23774D03A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  <w:docPart>
      <w:docPartPr>
        <w:name w:val="ECC5E9C721344CE8AEECA8AE6F3BDE0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EA25B87-85A3-4582-A260-1D893519820C}"/>
      </w:docPartPr>
      <w:docPartBody>
        <w:p>
          <w:pPr>
            <w:pStyle w:val="8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634"/>
    <w:rsid w:val="000B67B5"/>
    <w:rsid w:val="00C1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7E12F3F4C82B49758F09CD5F0E858A94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E5BBE864D9494356B804FB943D73F75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7">
    <w:name w:val="A0D2A404CF69432280921FBA4E785C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8">
    <w:name w:val="ECC5E9C721344CE8AEECA8AE6F3BDE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56EF91-1BF1-4576-840B-16FCFAEA0393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BE4E0384-B7E0-4DD6-B53D-B623044C557A}">
  <ds:schemaRefs/>
</ds:datastoreItem>
</file>

<file path=customXml/itemProps4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501</Words>
  <Characters>2746</Characters>
  <Lines>41</Lines>
  <Paragraphs>11</Paragraphs>
  <TotalTime>0</TotalTime>
  <ScaleCrop>false</ScaleCrop>
  <LinksUpToDate>false</LinksUpToDate>
  <CharactersWithSpaces>2980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2020-10-15T01:49:00Z</dcterms:created>
  <dc:creator>TotalVET Training Resources</dc:creator>
  <cp:lastModifiedBy>Administrator</cp:lastModifiedBy>
  <dcterms:modified xsi:type="dcterms:W3CDTF">2023-06-15T01:35:29Z</dcterms:modified>
  <dc:subject>Manage work health and safety in the building and construction workplace</dc:subject>
  <dc:title>CPCCBC4002</dc:title>
  <cp:revision>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2052-11.1.0.14036</vt:lpwstr>
  </property>
  <property fmtid="{D5CDD505-2E9C-101B-9397-08002B2CF9AE}" pid="10" name="ICV">
    <vt:lpwstr>51D15B898C0E42868539C6F8D404174E_12</vt:lpwstr>
  </property>
</Properties>
</file>