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B6F48" w14:textId="77777777" w:rsidR="00025268" w:rsidRPr="00025268" w:rsidRDefault="00025268">
      <w:pPr>
        <w:rPr>
          <w:rFonts w:ascii="Century Gothic" w:hAnsi="Century Gothic"/>
          <w:b/>
          <w:bCs/>
        </w:rPr>
      </w:pPr>
      <w:r w:rsidRPr="00025268">
        <w:rPr>
          <w:rFonts w:ascii="Century Gothic" w:hAnsi="Century Gothic"/>
          <w:b/>
          <w:bCs/>
        </w:rPr>
        <w:t xml:space="preserve">The FSR Attached was relevant to Plant and Equipment inspections on roofing contractor on site. </w:t>
      </w:r>
    </w:p>
    <w:p w14:paraId="0F269A28" w14:textId="47ECE4FB" w:rsidR="00025268" w:rsidRDefault="00025268">
      <w:r w:rsidRPr="00025268">
        <w:rPr>
          <w:rFonts w:ascii="Century Gothic" w:hAnsi="Century Gothic"/>
        </w:rPr>
        <w:t>The Control inspection conducted within the FSR was under “</w:t>
      </w:r>
      <w:r w:rsidRPr="00025268">
        <w:rPr>
          <w:rFonts w:ascii="Century Gothic" w:hAnsi="Century Gothic"/>
          <w:color w:val="686C6F"/>
          <w:shd w:val="clear" w:color="auto" w:fill="FFFFFF"/>
        </w:rPr>
        <w:t>Record of current VOC (within 2 years) must be available. VOC must have been completed by a suitable qualified persons (Cert IV and SME holding relevant ticket) or Registered Training Organisation</w:t>
      </w:r>
      <w:r w:rsidRPr="00025268">
        <w:rPr>
          <w:rFonts w:ascii="Century Gothic" w:hAnsi="Century Gothic"/>
          <w:color w:val="686C6F"/>
          <w:shd w:val="clear" w:color="auto" w:fill="FFFFFF"/>
        </w:rPr>
        <w:t>”</w:t>
      </w:r>
      <w:r>
        <w:rPr>
          <w:rFonts w:ascii="Century Gothic" w:hAnsi="Century Gothic"/>
          <w:color w:val="686C6F"/>
          <w:shd w:val="clear" w:color="auto" w:fill="FFFFFF"/>
        </w:rPr>
        <w:br/>
      </w:r>
      <w:r>
        <w:rPr>
          <w:rFonts w:ascii="Century Gothic" w:hAnsi="Century Gothic"/>
          <w:color w:val="686C6F"/>
          <w:shd w:val="clear" w:color="auto" w:fill="FFFFFF"/>
        </w:rPr>
        <w:br/>
        <w:t xml:space="preserve">Inspections </w:t>
      </w:r>
      <w:proofErr w:type="gramStart"/>
      <w:r>
        <w:rPr>
          <w:rFonts w:ascii="Century Gothic" w:hAnsi="Century Gothic"/>
          <w:color w:val="686C6F"/>
          <w:shd w:val="clear" w:color="auto" w:fill="FFFFFF"/>
        </w:rPr>
        <w:t>comments:-</w:t>
      </w:r>
      <w:proofErr w:type="gramEnd"/>
      <w:r>
        <w:rPr>
          <w:rFonts w:ascii="Century Gothic" w:hAnsi="Century Gothic"/>
          <w:color w:val="686C6F"/>
          <w:shd w:val="clear" w:color="auto" w:fill="FFFFFF"/>
        </w:rPr>
        <w:br/>
      </w:r>
      <w:r>
        <w:rPr>
          <w:rFonts w:ascii="Fira Sans" w:hAnsi="Fira Sans"/>
          <w:color w:val="686C6F"/>
          <w:sz w:val="21"/>
          <w:szCs w:val="21"/>
          <w:shd w:val="clear" w:color="auto" w:fill="F5F6F7"/>
        </w:rPr>
        <w:t xml:space="preserve">A total of (3) Operators were chosen during my FSR Inspection - (Donald Taylor), (Jason </w:t>
      </w:r>
      <w:proofErr w:type="spellStart"/>
      <w:r>
        <w:rPr>
          <w:rFonts w:ascii="Fira Sans" w:hAnsi="Fira Sans"/>
          <w:color w:val="686C6F"/>
          <w:sz w:val="21"/>
          <w:szCs w:val="21"/>
          <w:shd w:val="clear" w:color="auto" w:fill="F5F6F7"/>
        </w:rPr>
        <w:t>Babbini</w:t>
      </w:r>
      <w:proofErr w:type="spellEnd"/>
      <w:r>
        <w:rPr>
          <w:rFonts w:ascii="Fira Sans" w:hAnsi="Fira Sans"/>
          <w:color w:val="686C6F"/>
          <w:sz w:val="21"/>
          <w:szCs w:val="21"/>
          <w:shd w:val="clear" w:color="auto" w:fill="F5F6F7"/>
        </w:rPr>
        <w:t xml:space="preserve">), and (Shane Hargreaves). Attached show's all </w:t>
      </w:r>
      <w:proofErr w:type="gramStart"/>
      <w:r>
        <w:rPr>
          <w:rFonts w:ascii="Fira Sans" w:hAnsi="Fira Sans"/>
          <w:color w:val="686C6F"/>
          <w:sz w:val="21"/>
          <w:szCs w:val="21"/>
          <w:shd w:val="clear" w:color="auto" w:fill="F5F6F7"/>
        </w:rPr>
        <w:t>there</w:t>
      </w:r>
      <w:proofErr w:type="gramEnd"/>
      <w:r>
        <w:rPr>
          <w:rFonts w:ascii="Fira Sans" w:hAnsi="Fira Sans"/>
          <w:color w:val="686C6F"/>
          <w:sz w:val="21"/>
          <w:szCs w:val="21"/>
          <w:shd w:val="clear" w:color="auto" w:fill="F5F6F7"/>
        </w:rPr>
        <w:t xml:space="preserve"> relevant qualifications that are currently in date, valid and listed on EIFY. There qualifications needed for the operations of the EWP are " RIIWHS204E - Work safely at heights" &amp; "Verification of Competency - RIIHAN301E" or the relative statement of attainment</w:t>
      </w:r>
      <w:r>
        <w:rPr>
          <w:rFonts w:ascii="Fira Sans" w:hAnsi="Fira Sans"/>
          <w:color w:val="686C6F"/>
          <w:sz w:val="21"/>
          <w:szCs w:val="21"/>
          <w:shd w:val="clear" w:color="auto" w:fill="F5F6F7"/>
        </w:rPr>
        <w:t xml:space="preserve">, ALL OPERATORS HAVE SHOWN VERIFICATION OF HAVING A </w:t>
      </w:r>
      <w:proofErr w:type="gramStart"/>
      <w:r>
        <w:rPr>
          <w:rFonts w:ascii="Fira Sans" w:hAnsi="Fira Sans"/>
          <w:color w:val="686C6F"/>
          <w:sz w:val="21"/>
          <w:szCs w:val="21"/>
          <w:shd w:val="clear" w:color="auto" w:fill="F5F6F7"/>
        </w:rPr>
        <w:t>HIGH RISK</w:t>
      </w:r>
      <w:proofErr w:type="gramEnd"/>
      <w:r>
        <w:rPr>
          <w:rFonts w:ascii="Fira Sans" w:hAnsi="Fira Sans"/>
          <w:color w:val="686C6F"/>
          <w:sz w:val="21"/>
          <w:szCs w:val="21"/>
          <w:shd w:val="clear" w:color="auto" w:fill="F5F6F7"/>
        </w:rPr>
        <w:t xml:space="preserve"> LICENCE (CONDUCTING WORKING AT HEIGHTS WORK) </w:t>
      </w:r>
      <w:r>
        <w:rPr>
          <w:rFonts w:ascii="Century Gothic" w:hAnsi="Century Gothic"/>
          <w:color w:val="686C6F"/>
          <w:shd w:val="clear" w:color="auto" w:fill="FFFFFF"/>
        </w:rPr>
        <w:br/>
      </w:r>
      <w:r>
        <w:rPr>
          <w:rFonts w:ascii="Fira Sans" w:hAnsi="Fira Sans"/>
          <w:color w:val="686C6F"/>
          <w:sz w:val="21"/>
          <w:szCs w:val="21"/>
          <w:shd w:val="clear" w:color="auto" w:fill="FFFFFF"/>
        </w:rPr>
        <w:br/>
      </w:r>
      <w:r>
        <w:rPr>
          <w:rFonts w:ascii="Fira Sans" w:hAnsi="Fira Sans"/>
          <w:color w:val="686C6F"/>
          <w:sz w:val="21"/>
          <w:szCs w:val="21"/>
          <w:shd w:val="clear" w:color="auto" w:fill="FFFFFF"/>
        </w:rPr>
        <w:br/>
        <w:t>The relevant WHS Regulation is listed below</w:t>
      </w:r>
    </w:p>
    <w:p w14:paraId="38365C1F" w14:textId="33B78E2B" w:rsidR="002375B9" w:rsidRDefault="00025268">
      <w:r>
        <w:br/>
      </w:r>
      <w:r w:rsidRPr="00025268">
        <w:rPr>
          <w:b/>
          <w:bCs/>
        </w:rPr>
        <w:t>81 Licence required to carry out high risk work</w:t>
      </w:r>
      <w:r>
        <w:t xml:space="preserve"> </w:t>
      </w:r>
      <w:r>
        <w:br/>
      </w:r>
      <w:r>
        <w:t xml:space="preserve">A person must not carry out a class of </w:t>
      </w:r>
      <w:r>
        <w:t>high-risk</w:t>
      </w:r>
      <w:r>
        <w:t xml:space="preserve"> work unless the person holds a </w:t>
      </w:r>
      <w:proofErr w:type="gramStart"/>
      <w:r>
        <w:t>high risk</w:t>
      </w:r>
      <w:proofErr w:type="gramEnd"/>
      <w:r>
        <w:t xml:space="preserve"> work licence for that class of high risk work, except as provided in section 82. </w:t>
      </w:r>
      <w:r>
        <w:br/>
      </w:r>
      <w:r w:rsidRPr="00025268">
        <w:rPr>
          <w:sz w:val="18"/>
          <w:szCs w:val="18"/>
        </w:rPr>
        <w:t xml:space="preserve">Notes— 1 See section 43 of the Act. </w:t>
      </w:r>
      <w:r w:rsidRPr="00025268">
        <w:rPr>
          <w:sz w:val="18"/>
          <w:szCs w:val="18"/>
        </w:rPr>
        <w:br/>
      </w:r>
      <w:r w:rsidRPr="00025268">
        <w:rPr>
          <w:sz w:val="18"/>
          <w:szCs w:val="18"/>
        </w:rPr>
        <w:t xml:space="preserve">2 Schedule 3 sets out the </w:t>
      </w:r>
      <w:proofErr w:type="gramStart"/>
      <w:r w:rsidRPr="00025268">
        <w:rPr>
          <w:sz w:val="18"/>
          <w:szCs w:val="18"/>
        </w:rPr>
        <w:t>high risk</w:t>
      </w:r>
      <w:proofErr w:type="gramEnd"/>
      <w:r w:rsidRPr="00025268">
        <w:rPr>
          <w:sz w:val="18"/>
          <w:szCs w:val="18"/>
        </w:rPr>
        <w:t xml:space="preserve"> licences and classes of high risk work that are within the scope of each licence. Schedule 4 sets out the qualifications required for a </w:t>
      </w:r>
      <w:proofErr w:type="gramStart"/>
      <w:r w:rsidRPr="00025268">
        <w:rPr>
          <w:sz w:val="18"/>
          <w:szCs w:val="18"/>
        </w:rPr>
        <w:t>high risk</w:t>
      </w:r>
      <w:proofErr w:type="gramEnd"/>
      <w:r w:rsidRPr="00025268">
        <w:rPr>
          <w:sz w:val="18"/>
          <w:szCs w:val="18"/>
        </w:rPr>
        <w:t xml:space="preserve"> work licence.</w:t>
      </w:r>
      <w:r>
        <w:br/>
      </w:r>
      <w:r w:rsidR="000756D5">
        <w:br/>
      </w:r>
      <w:r w:rsidR="000756D5">
        <w:t xml:space="preserve">82 Exceptions </w:t>
      </w:r>
      <w:r w:rsidR="000756D5">
        <w:br/>
      </w:r>
      <w:r w:rsidR="000756D5">
        <w:t xml:space="preserve">(1) A person who carries out high risk work is not required to be licensed if the work is carried out— (a) in the course of training towards a certification in order to be licensed to carry out the high risk work; and </w:t>
      </w:r>
      <w:r w:rsidR="000756D5">
        <w:br/>
      </w:r>
      <w:r w:rsidR="000756D5">
        <w:t xml:space="preserve">(b) under the supervision of a person who is licensed to carry out the high risk work. </w:t>
      </w:r>
      <w:r w:rsidR="000756D5">
        <w:br/>
      </w:r>
      <w:r w:rsidR="000756D5">
        <w:t xml:space="preserve">(1A) A person who holds a certification for a specified VET course for high risk work is not required to be licensed to carry out the work— </w:t>
      </w:r>
      <w:r w:rsidR="000756D5">
        <w:br/>
      </w:r>
      <w:r w:rsidR="000756D5">
        <w:t xml:space="preserve">(a) during the period of 60 days starting on the issue of the certification; and </w:t>
      </w:r>
      <w:r w:rsidR="000756D5">
        <w:br/>
      </w:r>
      <w:r w:rsidR="000756D5">
        <w:t xml:space="preserve">(b) if, within that 60-day period, the person applies for the relevant high risk work licence for the work, until— </w:t>
      </w:r>
      <w:r w:rsidR="000756D5">
        <w:br/>
      </w:r>
      <w:r w:rsidR="000756D5">
        <w:t>(</w:t>
      </w:r>
      <w:proofErr w:type="spellStart"/>
      <w:r w:rsidR="000756D5">
        <w:t>i</w:t>
      </w:r>
      <w:proofErr w:type="spellEnd"/>
      <w:r w:rsidR="000756D5">
        <w:t xml:space="preserve">) the grant of the licence; or [s 82] Work Health and Safety Regulation 2011 Chapter 4 Hazardous work Current as at 1 January 2023 Page 93 Authorised by the Parliamentary Counsel </w:t>
      </w:r>
      <w:r w:rsidR="000756D5">
        <w:br/>
      </w:r>
      <w:r w:rsidR="000756D5">
        <w:t xml:space="preserve">(ii) the expiry of a period of 28 days starting on the day the person is given written notice under section 91(2)(c) for the application. </w:t>
      </w:r>
      <w:r w:rsidR="000756D5">
        <w:br/>
      </w:r>
      <w:r w:rsidR="000756D5">
        <w:t>(1B) A person who carries out high risk work is not required to be licensed to carry out the work if the work is carried out while an accredited assessor is conducting an assessment of the person’s competency in relation to the work.</w:t>
      </w:r>
      <w:r w:rsidR="000756D5">
        <w:br/>
      </w:r>
      <w:r w:rsidR="000756D5">
        <w:t xml:space="preserve"> (2) A person who carries out high risk work involving plant is not required to be licensed if—</w:t>
      </w:r>
      <w:r w:rsidR="000756D5">
        <w:br/>
      </w:r>
      <w:r w:rsidR="000756D5">
        <w:t xml:space="preserve"> (a) the work is carried out at a workplace solely for the purpose of the manufacture, testing, trialling, installation, commissioning, maintenance, servicing, repair, alteration, demolition or disposal of the plant at that workplace or moving the plant within the workplace; and</w:t>
      </w:r>
      <w:r w:rsidR="000756D5">
        <w:br/>
      </w:r>
      <w:r w:rsidR="000756D5">
        <w:t xml:space="preserve"> (b) the plant is operated or used without a load except when standard weight loads with predetermined fixing points are used for calibration of the plant.</w:t>
      </w:r>
      <w:r w:rsidR="000756D5">
        <w:br/>
      </w:r>
      <w:r w:rsidR="000756D5">
        <w:lastRenderedPageBreak/>
        <w:t xml:space="preserve"> (3) For subsection</w:t>
      </w:r>
      <w:r w:rsidR="000756D5">
        <w:br/>
      </w:r>
      <w:r w:rsidR="000756D5">
        <w:t xml:space="preserve"> (2)(a), moving includes operating plant in order to load it on to, or unload it from, a vehicle or equipment used to move it.</w:t>
      </w:r>
      <w:r w:rsidR="000756D5">
        <w:br/>
      </w:r>
      <w:r w:rsidR="000756D5">
        <w:t xml:space="preserve"> (4) A person who carries out high risk work with a crane or hoist is not required to be licensed as a crane operator if— </w:t>
      </w:r>
      <w:r w:rsidR="000756D5">
        <w:br/>
      </w:r>
      <w:r w:rsidR="000756D5">
        <w:t>(a) the work is limited to setting up or dismantling the crane or hoist; and</w:t>
      </w:r>
      <w:r w:rsidR="000756D5">
        <w:br/>
      </w:r>
      <w:r w:rsidR="000756D5">
        <w:t xml:space="preserve"> (b) the person carrying out the work holds a licence in relation to rigging, which qualifies the person to carry out the work. Note— See schedule 3 for the classes of crane operator licence.</w:t>
      </w:r>
      <w:r w:rsidR="000756D5">
        <w:br/>
      </w:r>
      <w:r w:rsidR="000756D5">
        <w:t xml:space="preserve"> (5) A person who carries out high risk work with a heritage boiler is not required to be licensed as a boiler operator. </w:t>
      </w:r>
      <w:r w:rsidR="000756D5">
        <w:br/>
      </w:r>
      <w:r w:rsidR="000756D5">
        <w:t xml:space="preserve">(6) Subsection </w:t>
      </w:r>
      <w:r w:rsidR="000756D5">
        <w:br/>
      </w:r>
      <w:r w:rsidR="000756D5">
        <w:t>(7) applies if, immediately before the repeal of the repealed WHS regulation, a person held an earthmoving or particular crane work certificate to perform work as an [s 83] Work Health and Safety Regulation 2011 Chapter 4 Hazardous work Page 94 Current as at 1 January 2023 Authorised by the Parliamentary Counsel operator of a bridge and gantry crane (remote control only) under the repealed WHS regulation.</w:t>
      </w:r>
      <w:r w:rsidR="000756D5">
        <w:br/>
      </w:r>
      <w:r w:rsidR="000756D5">
        <w:t xml:space="preserve"> (7) The person is not required to have a high risk work licence to carry out licence class dogging if— (a) the person will operate a bridge crane or gantry crane that can perform 3 or fewer powered operations; and </w:t>
      </w:r>
      <w:r w:rsidR="000756D5">
        <w:br/>
      </w:r>
      <w:r w:rsidR="000756D5">
        <w:t xml:space="preserve">(b) the load is being lifted by remote control; and </w:t>
      </w:r>
      <w:r w:rsidR="000756D5">
        <w:br/>
      </w:r>
      <w:r w:rsidR="000756D5">
        <w:t xml:space="preserve">(c) the load being lifted is lifted within the view of the person. </w:t>
      </w:r>
      <w:r w:rsidR="000756D5">
        <w:br/>
      </w:r>
      <w:r w:rsidR="000756D5">
        <w:t xml:space="preserve">(8) A person is not required to be licensed to carry out high risk work for the licence class advanced boiler operator if— </w:t>
      </w:r>
      <w:r w:rsidR="000756D5">
        <w:br/>
      </w:r>
      <w:r w:rsidR="000756D5">
        <w:t>(a) the person holds a high risk work licence for the licence class standard boiler operation; and</w:t>
      </w:r>
      <w:r w:rsidR="000756D5">
        <w:br/>
      </w:r>
      <w:r w:rsidR="000756D5">
        <w:t xml:space="preserve"> (b) the person held a licence class intermediate boiler operator under the repealed WHS regulation immediately before the regulation was repealed; and </w:t>
      </w:r>
      <w:r w:rsidR="000756D5">
        <w:br/>
      </w:r>
      <w:r w:rsidR="000756D5">
        <w:t>(c) the person does not operate a boiler that has multiple fuel sources.</w:t>
      </w:r>
    </w:p>
    <w:p w14:paraId="23D5D985" w14:textId="5E068B3F" w:rsidR="000756D5" w:rsidRDefault="000756D5"/>
    <w:p w14:paraId="3C18D81D" w14:textId="6C2F6290" w:rsidR="000756D5" w:rsidRPr="000756D5" w:rsidRDefault="000756D5">
      <w:pPr>
        <w:rPr>
          <w:b/>
          <w:bCs/>
          <w:color w:val="0070C0"/>
          <w:sz w:val="18"/>
          <w:szCs w:val="18"/>
        </w:rPr>
      </w:pPr>
      <w:r w:rsidRPr="000756D5">
        <w:rPr>
          <w:b/>
          <w:bCs/>
          <w:color w:val="0070C0"/>
          <w:sz w:val="18"/>
          <w:szCs w:val="18"/>
        </w:rPr>
        <w:t xml:space="preserve">Referenced </w:t>
      </w:r>
      <w:proofErr w:type="gramStart"/>
      <w:r w:rsidRPr="000756D5">
        <w:rPr>
          <w:b/>
          <w:bCs/>
          <w:color w:val="0070C0"/>
          <w:sz w:val="18"/>
          <w:szCs w:val="18"/>
        </w:rPr>
        <w:t>From :</w:t>
      </w:r>
      <w:proofErr w:type="gramEnd"/>
      <w:r w:rsidRPr="000756D5">
        <w:rPr>
          <w:b/>
          <w:bCs/>
          <w:color w:val="0070C0"/>
          <w:sz w:val="18"/>
          <w:szCs w:val="18"/>
        </w:rPr>
        <w:t xml:space="preserve">-  </w:t>
      </w:r>
      <w:r w:rsidRPr="000756D5">
        <w:rPr>
          <w:b/>
          <w:bCs/>
          <w:color w:val="0070C0"/>
          <w:sz w:val="18"/>
          <w:szCs w:val="18"/>
        </w:rPr>
        <w:t>https://www.legislation.qld.gov.au/view/pdf/inforce/current/sl-2011-0240</w:t>
      </w:r>
    </w:p>
    <w:sectPr w:rsidR="000756D5" w:rsidRPr="000756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ira Sans">
    <w:charset w:val="00"/>
    <w:family w:val="swiss"/>
    <w:pitch w:val="variable"/>
    <w:sig w:usb0="600002FF"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268"/>
    <w:rsid w:val="00025268"/>
    <w:rsid w:val="000756D5"/>
    <w:rsid w:val="002375B9"/>
    <w:rsid w:val="007F667E"/>
    <w:rsid w:val="00CD3AF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9321B"/>
  <w15:chartTrackingRefBased/>
  <w15:docId w15:val="{9C18B2CB-CAFE-49D1-99D0-028656CDF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762</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Laing O'Rourke</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Holmes-Yasso, Rhys</dc:creator>
  <cp:keywords/>
  <dc:description/>
  <cp:lastModifiedBy>Holmes-Yasso, Rhys</cp:lastModifiedBy>
  <cp:revision>1</cp:revision>
  <dcterms:created xsi:type="dcterms:W3CDTF">2023-02-26T06:06:00Z</dcterms:created>
  <dcterms:modified xsi:type="dcterms:W3CDTF">2023-02-26T06:19:00Z</dcterms:modified>
</cp:coreProperties>
</file>