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76" w:lineRule="auto"/>
        <w:rPr>
          <w:rFonts w:cstheme="minorHAnsi"/>
          <w:b/>
          <w:color w:val="252525" w:themeColor="text1" w:themeTint="D9"/>
          <w:sz w:val="24"/>
          <w:szCs w:val="24"/>
        </w:rPr>
      </w:pPr>
      <w:bookmarkStart w:id="0" w:name="_Hlk61112720"/>
      <w:bookmarkEnd w:id="0"/>
      <w:r>
        <w:pict>
          <v:group id="Group 1" o:spid="_x0000_s1026" o:spt="203" style="position:absolute;left:0pt;margin-left:-54pt;margin-top:-45pt;height:93pt;width:265.5pt;z-index:251660288;mso-width-relative:page;mso-height-relative:page;"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PqRp8fhAAAACwEAAA8AAABkcnMv&#10;ZG93bnJldi54bWxMj0FrwkAQhe+F/odlCr3pbrQVTbMRkbYnKVQLpbcxOybB7G7Irkn8952e6u17&#10;zOPNe9l6tI3oqQu1dxqSqQJBrvCmdqWGr8PbZAkiRHQGG+9Iw5UCrPP7uwxT4wf3Sf0+loJDXEhR&#10;QxVjm0oZiooshqlvyfHt5DuLkWVXStPhwOG2kTOlFtJi7fhDhS1tKyrO+4vV8D7gsJknr/3ufNpe&#10;fw7PH9+7hLR+fBg3LyAijfHfDH/1uTrk3OnoL84E0WiYJGrJYyLTSjGw5Wk2ZzhqWC0UyDyTtxvy&#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">
            <o:lock v:ext="edit"/>
            <v:roundrect id="Rectangle: Rounded Corners 2" o:spid="_x0000_s1027" o:spt="2" style="position:absolute;left:0;top:0;height:11811;width:33718;v-text-anchor:middle;" fillcolor="#FF0000" filled="t" stroked="t" coordsize="21600,21600" arcsize="0.16666666666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">
              <v:path/>
              <v:fill on="t" focussize="0,0"/>
              <v:stroke weight="1pt" color="#C00000" joinstyle="miter"/>
              <v:imagedata o:title=""/>
              <o:lock v:ext="edit"/>
            </v:roundrect>
            <v:shape id="Picture 3" o:spid="_x0000_s1028" o:spt="75" alt="Logo&#10;&#10;Description automatically generated" type="#_x0000_t75" style="position:absolute;left:10858;top:190;height:11621;width:11525;" fillcolor="#FF0000" filled="t" o:preferrelative="t" stroked="f"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">
              <v:path/>
              <v:fill on="t" focussize="0,0"/>
              <v:stroke on="f" joinstyle="miter"/>
              <v:imagedata r:id="rId8" o:title="Logo&#10;&#10;Description automatically generated"/>
              <o:lock v:ext="edit" aspectratio="t"/>
            </v:shape>
          </v:group>
        </w:pict>
      </w:r>
      <w:r>
        <w:rPr>
          <w:rFonts w:ascii="Arial" w:hAnsi="Arial" w:cs="Arial"/>
          <w:sz w:val="24"/>
          <w:szCs w:val="24"/>
        </w:rPr>
        <w:drawing>
          <wp:anchor distT="0" distB="0" distL="114300" distR="114300" simplePos="0" relativeHeight="251659264" behindDoc="0" locked="0" layoutInCell="1" allowOverlap="1">
            <wp:simplePos x="0" y="0"/>
            <wp:positionH relativeFrom="column">
              <wp:posOffset>-904875</wp:posOffset>
            </wp:positionH>
            <wp:positionV relativeFrom="paragraph">
              <wp:posOffset>-904875</wp:posOffset>
            </wp:positionV>
            <wp:extent cx="7569200" cy="1070229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69092" cy="10702288"/>
                    </a:xfrm>
                    <a:prstGeom prst="rect">
                      <a:avLst/>
                    </a:prstGeom>
                    <a:noFill/>
                    <a:ln>
                      <a:noFill/>
                    </a:ln>
                  </pic:spPr>
                </pic:pic>
              </a:graphicData>
            </a:graphic>
          </wp:anchor>
        </w:drawing>
      </w:r>
      <w:r>
        <w:rPr>
          <w:b/>
          <w:bCs/>
          <w:color w:val="252525" w:themeColor="text1" w:themeTint="D9"/>
          <w:sz w:val="24"/>
          <w:szCs w:val="24"/>
        </w:rPr>
        <w:br w:type="page"/>
      </w:r>
    </w:p>
    <w:p>
      <w:pPr>
        <w:tabs>
          <w:tab w:val="left" w:pos="180"/>
        </w:tabs>
        <w:spacing w:after="120" w:line="276" w:lineRule="auto"/>
        <w:ind w:left="0" w:right="0" w:firstLine="14"/>
        <w:jc w:val="center"/>
        <w:rPr>
          <w:rFonts w:cstheme="minorHAnsi"/>
          <w:b/>
          <w:color w:val="252525" w:themeColor="text1" w:themeTint="D9"/>
          <w:sz w:val="24"/>
          <w:szCs w:val="24"/>
        </w:rPr>
      </w:pPr>
      <w:r>
        <w:rPr>
          <w:rFonts w:cstheme="minorHAnsi"/>
          <w:b/>
          <w:color w:val="252525" w:themeColor="text1" w:themeTint="D9"/>
          <w:sz w:val="24"/>
          <w:szCs w:val="24"/>
        </w:rPr>
        <w:t>Copyright</w:t>
      </w:r>
    </w:p>
    <w:p>
      <w:pPr>
        <w:tabs>
          <w:tab w:val="left" w:pos="180"/>
        </w:tabs>
        <w:spacing w:after="120" w:line="276" w:lineRule="auto"/>
        <w:ind w:left="0" w:right="0" w:firstLine="14"/>
        <w:jc w:val="both"/>
        <w:rPr>
          <w:rFonts w:cstheme="minorHAnsi"/>
          <w:color w:val="252525" w:themeColor="text1" w:themeTint="D9"/>
          <w:szCs w:val="28"/>
        </w:rPr>
      </w:pPr>
      <w:r>
        <w:rPr>
          <w:rFonts w:cstheme="minorHAnsi"/>
          <w:color w:val="252525" w:themeColor="text1" w:themeTint="D9"/>
          <w:szCs w:val="28"/>
        </w:rPr>
        <w:t>This document was developed by TotalVET Training Resources.</w:t>
      </w:r>
    </w:p>
    <w:p>
      <w:pPr>
        <w:tabs>
          <w:tab w:val="left" w:pos="180"/>
        </w:tabs>
        <w:spacing w:after="120" w:line="276" w:lineRule="auto"/>
        <w:ind w:left="0" w:right="0" w:firstLine="14"/>
        <w:jc w:val="both"/>
        <w:rPr>
          <w:rFonts w:cstheme="minorHAnsi"/>
          <w:color w:val="252525" w:themeColor="text1" w:themeTint="D9"/>
          <w:szCs w:val="28"/>
        </w:rPr>
      </w:pPr>
      <w:r>
        <w:rPr>
          <w:rFonts w:cstheme="minorHAnsi"/>
          <w:color w:val="252525" w:themeColor="text1" w:themeTint="D9"/>
          <w:szCs w:val="28"/>
        </w:rPr>
        <w:t>© 2021 TotalVET Training Resources.</w:t>
      </w:r>
    </w:p>
    <w:p>
      <w:pPr>
        <w:tabs>
          <w:tab w:val="left" w:pos="180"/>
        </w:tabs>
        <w:spacing w:after="120" w:line="276" w:lineRule="auto"/>
        <w:ind w:left="0" w:right="0" w:firstLine="14"/>
        <w:jc w:val="both"/>
        <w:rPr>
          <w:rFonts w:cstheme="minorHAnsi"/>
          <w:color w:val="252525" w:themeColor="text1" w:themeTint="D9"/>
          <w:szCs w:val="28"/>
        </w:rPr>
      </w:pPr>
      <w:r>
        <w:rPr>
          <w:rFonts w:cstheme="minorHAnsi"/>
          <w:color w:val="252525" w:themeColor="text1" w:themeTint="D9"/>
          <w:szCs w:val="28"/>
        </w:rPr>
        <w:t>All rights reserved.</w:t>
      </w:r>
    </w:p>
    <w:p>
      <w:pPr>
        <w:tabs>
          <w:tab w:val="left" w:pos="180"/>
        </w:tabs>
        <w:spacing w:after="120" w:line="276" w:lineRule="auto"/>
        <w:ind w:left="0" w:right="0" w:firstLine="14"/>
        <w:jc w:val="both"/>
        <w:rPr>
          <w:rFonts w:cstheme="minorHAnsi"/>
          <w:color w:val="252525" w:themeColor="text1" w:themeTint="D9"/>
          <w:szCs w:val="28"/>
        </w:rPr>
      </w:pPr>
      <w:r>
        <w:rPr>
          <w:rFonts w:cstheme="minorHAnsi"/>
          <w:color w:val="252525" w:themeColor="text1" w:themeTint="D9"/>
          <w:szCs w:val="28"/>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52525" w:themeColor="text1" w:themeTint="D9"/>
          <w:sz w:val="20"/>
          <w:szCs w:val="24"/>
        </w:rPr>
      </w:pPr>
    </w:p>
    <w:p>
      <w:pPr>
        <w:tabs>
          <w:tab w:val="left" w:pos="180"/>
        </w:tabs>
        <w:spacing w:after="120" w:line="276" w:lineRule="auto"/>
        <w:ind w:left="0" w:right="0" w:firstLine="14"/>
        <w:jc w:val="center"/>
        <w:rPr>
          <w:rFonts w:cstheme="minorHAnsi"/>
          <w:b/>
          <w:color w:val="252525" w:themeColor="text1" w:themeTint="D9"/>
          <w:sz w:val="24"/>
          <w:szCs w:val="24"/>
        </w:rPr>
      </w:pPr>
      <w:r>
        <w:rPr>
          <w:rFonts w:cstheme="minorHAnsi"/>
          <w:b/>
          <w:color w:val="252525" w:themeColor="text1" w:themeTint="D9"/>
          <w:sz w:val="24"/>
          <w:szCs w:val="24"/>
        </w:rPr>
        <w:t>Version Control &amp; Document History</w:t>
      </w:r>
    </w:p>
    <w:tbl>
      <w:tblPr>
        <w:tblStyle w:val="18"/>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52525" w:themeColor="text1" w:themeTint="D9"/>
                <w:sz w:val="20"/>
                <w:szCs w:val="20"/>
              </w:rPr>
            </w:pPr>
            <w:r>
              <w:rPr>
                <w:rFonts w:cstheme="minorHAnsi"/>
                <w:b/>
                <w:color w:val="252525" w:themeColor="text1" w:themeTint="D9"/>
                <w:sz w:val="20"/>
                <w:szCs w:val="20"/>
              </w:rPr>
              <w:t>Date</w:t>
            </w:r>
          </w:p>
        </w:tc>
        <w:tc>
          <w:tcPr>
            <w:tcW w:w="4320" w:type="dxa"/>
            <w:shd w:val="clear" w:color="auto" w:fill="E7E6E6" w:themeFill="background2"/>
          </w:tcPr>
          <w:p>
            <w:pPr>
              <w:tabs>
                <w:tab w:val="left" w:pos="180"/>
              </w:tabs>
              <w:spacing w:after="120"/>
              <w:ind w:left="0" w:right="0" w:firstLine="0"/>
              <w:jc w:val="center"/>
              <w:rPr>
                <w:rFonts w:cstheme="minorHAnsi"/>
                <w:b/>
                <w:color w:val="252525" w:themeColor="text1" w:themeTint="D9"/>
                <w:sz w:val="20"/>
                <w:szCs w:val="20"/>
              </w:rPr>
            </w:pPr>
            <w:r>
              <w:rPr>
                <w:rFonts w:cstheme="minorHAnsi"/>
                <w:b/>
                <w:color w:val="252525" w:themeColor="text1" w:themeTint="D9"/>
                <w:sz w:val="20"/>
                <w:szCs w:val="20"/>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52525" w:themeColor="text1" w:themeTint="D9"/>
                <w:sz w:val="20"/>
                <w:szCs w:val="20"/>
              </w:rPr>
            </w:pPr>
            <w:r>
              <w:rPr>
                <w:rFonts w:cstheme="minorHAnsi"/>
                <w:b/>
                <w:color w:val="252525" w:themeColor="text1" w:themeTint="D9"/>
                <w:sz w:val="20"/>
                <w:szCs w:val="20"/>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5 May 2022</w:t>
            </w:r>
          </w:p>
        </w:tc>
        <w:tc>
          <w:tcPr>
            <w:tcW w:w="432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Version 1.0 released for publishing</w:t>
            </w:r>
          </w:p>
        </w:tc>
        <w:tc>
          <w:tcPr>
            <w:tcW w:w="216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6 December 2022</w:t>
            </w:r>
          </w:p>
        </w:tc>
        <w:tc>
          <w:tcPr>
            <w:tcW w:w="432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Version 1.1 – Minor amendments</w:t>
            </w:r>
          </w:p>
        </w:tc>
        <w:tc>
          <w:tcPr>
            <w:tcW w:w="2160" w:type="dxa"/>
          </w:tcPr>
          <w:p>
            <w:pPr>
              <w:tabs>
                <w:tab w:val="left" w:pos="180"/>
              </w:tabs>
              <w:spacing w:after="120"/>
              <w:ind w:left="0" w:right="0" w:firstLine="0"/>
              <w:jc w:val="center"/>
              <w:rPr>
                <w:rFonts w:cstheme="minorHAnsi"/>
                <w:color w:val="252525" w:themeColor="text1" w:themeTint="D9"/>
                <w:sz w:val="20"/>
                <w:szCs w:val="20"/>
              </w:rPr>
            </w:pPr>
            <w:r>
              <w:rPr>
                <w:rFonts w:cstheme="minorHAnsi"/>
                <w:color w:val="252525" w:themeColor="text1" w:themeTint="D9"/>
                <w:sz w:val="20"/>
                <w:szCs w:val="20"/>
              </w:rPr>
              <w:t>1.1</w:t>
            </w:r>
          </w:p>
        </w:tc>
      </w:tr>
    </w:tbl>
    <w:p>
      <w:pPr>
        <w:spacing w:after="120" w:line="276" w:lineRule="auto"/>
        <w:ind w:left="0" w:firstLine="0"/>
        <w:rPr>
          <w:rFonts w:ascii="Arial" w:hAnsi="Arial" w:cs="Arial"/>
          <w:color w:val="252525" w:themeColor="text1" w:themeTint="D9"/>
          <w:sz w:val="24"/>
          <w:szCs w:val="24"/>
        </w:rPr>
      </w:pPr>
      <w:r>
        <w:rPr>
          <w:rFonts w:ascii="Arial" w:hAnsi="Arial" w:cs="Arial"/>
          <w:color w:val="252525" w:themeColor="text1" w:themeTint="D9"/>
          <w:sz w:val="24"/>
          <w:szCs w:val="24"/>
        </w:rPr>
        <w:br w:type="page"/>
      </w:r>
    </w:p>
    <w:p>
      <w:pPr>
        <w:pStyle w:val="2"/>
      </w:pPr>
      <w:bookmarkStart w:id="1" w:name="_Toc46834076"/>
      <w:bookmarkStart w:id="2" w:name="_Toc34061730"/>
      <w:bookmarkStart w:id="3" w:name="_Toc12454748"/>
      <w:bookmarkStart w:id="4" w:name="_Toc46917686"/>
      <w:bookmarkStart w:id="5" w:name="_Toc54093886"/>
      <w:bookmarkStart w:id="6" w:name="_Toc46917739"/>
      <w:bookmarkStart w:id="7" w:name="_Toc53495158"/>
      <w:bookmarkStart w:id="8" w:name="_Toc38122193"/>
      <w:bookmarkStart w:id="9" w:name="_Toc53493521"/>
      <w:bookmarkStart w:id="10" w:name="_Toc20722153"/>
      <w:bookmarkStart w:id="11" w:name="_Toc53495203"/>
      <w:bookmarkStart w:id="12" w:name="_Toc10636157"/>
      <w:bookmarkStart w:id="13" w:name="_Toc54093831"/>
      <w:bookmarkStart w:id="14" w:name="_Toc20229407"/>
      <w:bookmarkStart w:id="15" w:name="_Toc63167786"/>
      <w:bookmarkStart w:id="16" w:name="_Toc20466808"/>
      <w:bookmarkStart w:id="17" w:name="_Toc125109229"/>
      <w:bookmarkStart w:id="18" w:name="_Toc46834023"/>
      <w:bookmarkStart w:id="19" w:name="_Toc20722197"/>
      <w:bookmarkStart w:id="20" w:name="_Toc34061775"/>
      <w:bookmarkStart w:id="21" w:name="_Toc38023903"/>
      <w:bookmarkStart w:id="22" w:name="_Toc63164209"/>
      <w:bookmarkStart w:id="23" w:name="_Toc62203532"/>
      <w:bookmarkStart w:id="24" w:name="_Toc53494944"/>
      <w:bookmarkStart w:id="25" w:name="_Toc11157556"/>
      <w:bookmarkStart w:id="26" w:name="_Toc38122241"/>
      <w:bookmarkStart w:id="27" w:name="_Toc53493584"/>
      <w:r>
        <w:rPr>
          <w:lang w:val="en-AU"/>
        </w:rP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lang w:val="en-AU"/>
        </w:rPr>
        <w:fldChar w:fldCharType="begin"/>
      </w:r>
      <w:r>
        <w:rPr>
          <w:lang w:val="en-AU"/>
        </w:rPr>
        <w:instrText xml:space="preserve"> TOC \o "1-3" \h \z \u </w:instrText>
      </w:r>
      <w:r>
        <w:rPr>
          <w:lang w:val="en-AU"/>
        </w:rPr>
        <w:fldChar w:fldCharType="separate"/>
      </w:r>
    </w:p>
    <w:p>
      <w:pPr>
        <w:pStyle w:val="12"/>
        <w:rPr>
          <w:rFonts w:eastAsiaTheme="minorEastAsia"/>
          <w:b w:val="0"/>
          <w:color w:val="auto"/>
          <w:sz w:val="22"/>
          <w:lang w:eastAsia="en-AU"/>
        </w:rPr>
      </w:pPr>
      <w:r>
        <w:fldChar w:fldCharType="begin"/>
      </w:r>
      <w:r>
        <w:instrText xml:space="preserve"> HYPERLINK \l "_Toc125109229" </w:instrText>
      </w:r>
      <w:r>
        <w:fldChar w:fldCharType="separate"/>
      </w:r>
      <w:r>
        <w:rPr>
          <w:rStyle w:val="22"/>
          <w:lang w:bidi="en-US"/>
        </w:rPr>
        <w:t>Table of Contents</w:t>
      </w:r>
      <w:r>
        <w:tab/>
      </w:r>
      <w:r>
        <w:fldChar w:fldCharType="begin"/>
      </w:r>
      <w:r>
        <w:instrText xml:space="preserve"> PAGEREF _Toc125109229 \h </w:instrText>
      </w:r>
      <w:r>
        <w:fldChar w:fldCharType="separate"/>
      </w:r>
      <w:r>
        <w:t>3</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"_Toc125109230" </w:instrText>
      </w:r>
      <w:r>
        <w:fldChar w:fldCharType="separate"/>
      </w:r>
      <w:r>
        <w:rPr>
          <w:rStyle w:val="22"/>
          <w:lang w:bidi="en-US"/>
        </w:rPr>
        <w:t>Introduction</w:t>
      </w:r>
      <w:r>
        <w:tab/>
      </w:r>
      <w:r>
        <w:fldChar w:fldCharType="begin"/>
      </w:r>
      <w:r>
        <w:instrText xml:space="preserve"> PAGEREF _Toc125109230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"_Toc125109231" </w:instrText>
      </w:r>
      <w:r>
        <w:fldChar w:fldCharType="separate"/>
      </w:r>
      <w:r>
        <w:rPr>
          <w:rStyle w:val="22"/>
          <w:lang w:bidi="en-US"/>
        </w:rPr>
        <w:t>Competency-Based Assessments</w:t>
      </w:r>
      <w:r>
        <w:tab/>
      </w:r>
      <w:r>
        <w:fldChar w:fldCharType="begin"/>
      </w:r>
      <w:r>
        <w:instrText xml:space="preserve"> PAGEREF _Toc125109231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"_Toc125109232" </w:instrText>
      </w:r>
      <w:r>
        <w:fldChar w:fldCharType="separate"/>
      </w:r>
      <w:r>
        <w:rPr>
          <w:rStyle w:val="22"/>
          <w:lang w:bidi="en-US"/>
        </w:rPr>
        <w:t>Assessing Nationally-Recognised Training</w:t>
      </w:r>
      <w:r>
        <w:tab/>
      </w:r>
      <w:r>
        <w:fldChar w:fldCharType="begin"/>
      </w:r>
      <w:r>
        <w:instrText xml:space="preserve"> PAGEREF _Toc125109232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"_Toc125109233" </w:instrText>
      </w:r>
      <w:r>
        <w:fldChar w:fldCharType="separate"/>
      </w:r>
      <w:r>
        <w:rPr>
          <w:rStyle w:val="22"/>
          <w:lang w:bidi="en-US"/>
        </w:rPr>
        <w:t>Dimensions of Competency</w:t>
      </w:r>
      <w:r>
        <w:tab/>
      </w:r>
      <w:r>
        <w:fldChar w:fldCharType="begin"/>
      </w:r>
      <w:r>
        <w:instrText xml:space="preserve"> PAGEREF _Toc125109233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"_Toc125109234" </w:instrText>
      </w:r>
      <w:r>
        <w:fldChar w:fldCharType="separate"/>
      </w:r>
      <w:r>
        <w:rPr>
          <w:rStyle w:val="22"/>
          <w:lang w:bidi="en-US"/>
        </w:rPr>
        <w:t>Reasonable Adjustment</w:t>
      </w:r>
      <w:r>
        <w:tab/>
      </w:r>
      <w:r>
        <w:fldChar w:fldCharType="begin"/>
      </w:r>
      <w:r>
        <w:instrText xml:space="preserve"> PAGEREF _Toc125109234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"_Toc125109235" </w:instrText>
      </w:r>
      <w:r>
        <w:fldChar w:fldCharType="separate"/>
      </w:r>
      <w:r>
        <w:rPr>
          <w:rStyle w:val="22"/>
          <w:lang w:bidi="en-US"/>
        </w:rPr>
        <w:t>The Unit of Competency</w:t>
      </w:r>
      <w:r>
        <w:tab/>
      </w:r>
      <w:r>
        <w:fldChar w:fldCharType="begin"/>
      </w:r>
      <w:r>
        <w:instrText xml:space="preserve"> PAGEREF _Toc125109235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"_Toc125109236" </w:instrText>
      </w:r>
      <w:r>
        <w:fldChar w:fldCharType="separate"/>
      </w:r>
      <w:r>
        <w:rPr>
          <w:rStyle w:val="22"/>
          <w:lang w:bidi="en-US"/>
        </w:rPr>
        <w:t>The Context of Assessment</w:t>
      </w:r>
      <w:r>
        <w:tab/>
      </w:r>
      <w:r>
        <w:fldChar w:fldCharType="begin"/>
      </w:r>
      <w:r>
        <w:instrText xml:space="preserve"> PAGEREF _Toc125109236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"_Toc125109237" </w:instrText>
      </w:r>
      <w:r>
        <w:fldChar w:fldCharType="separate"/>
      </w:r>
      <w:r>
        <w:rPr>
          <w:rStyle w:val="22"/>
          <w:lang w:bidi="en-US"/>
        </w:rPr>
        <w:t>Assessment Methods</w:t>
      </w:r>
      <w:r>
        <w:tab/>
      </w:r>
      <w:r>
        <w:fldChar w:fldCharType="begin"/>
      </w:r>
      <w:r>
        <w:instrText xml:space="preserve"> PAGEREF _Toc125109237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"_Toc125109238" </w:instrText>
      </w:r>
      <w:r>
        <w:fldChar w:fldCharType="separate"/>
      </w:r>
      <w:r>
        <w:rPr>
          <w:rStyle w:val="22"/>
          <w:lang w:bidi="en-US"/>
        </w:rPr>
        <w:t>Resources Required for Assessment</w:t>
      </w:r>
      <w:r>
        <w:tab/>
      </w:r>
      <w:r>
        <w:fldChar w:fldCharType="begin"/>
      </w:r>
      <w:r>
        <w:instrText xml:space="preserve"> PAGEREF _Toc125109238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"_Toc125109239" </w:instrText>
      </w:r>
      <w:r>
        <w:fldChar w:fldCharType="separate"/>
      </w:r>
      <w:r>
        <w:rPr>
          <w:rStyle w:val="22"/>
          <w:lang w:bidi="en-US"/>
        </w:rPr>
        <w:t>Assessment Workbook Cover Sheet</w:t>
      </w:r>
      <w:r>
        <w:tab/>
      </w:r>
      <w:r>
        <w:fldChar w:fldCharType="begin"/>
      </w:r>
      <w:r>
        <w:instrText xml:space="preserve"> PAGEREF _Toc125109239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"_Toc125109240" </w:instrText>
      </w:r>
      <w:r>
        <w:fldChar w:fldCharType="separate"/>
      </w:r>
      <w:r>
        <w:rPr>
          <w:rStyle w:val="22"/>
          <w:lang w:bidi="en-US"/>
        </w:rPr>
        <w:t>Knowledge Assessment</w:t>
      </w:r>
      <w:r>
        <w:tab/>
      </w:r>
      <w:r>
        <w:fldChar w:fldCharType="begin"/>
      </w:r>
      <w:r>
        <w:instrText xml:space="preserve"> PAGEREF _Toc125109240 \h </w:instrText>
      </w:r>
      <w:r>
        <w:fldChar w:fldCharType="separate"/>
      </w:r>
      <w:r>
        <w:t>16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"_Toc125109241" </w:instrText>
      </w:r>
      <w:r>
        <w:fldChar w:fldCharType="separate"/>
      </w:r>
      <w:r>
        <w:rPr>
          <w:rStyle w:val="22"/>
          <w:lang w:bidi="en-US"/>
        </w:rPr>
        <w:t>Practical Assessment</w:t>
      </w:r>
      <w:r>
        <w:tab/>
      </w:r>
      <w:r>
        <w:fldChar w:fldCharType="begin"/>
      </w:r>
      <w:r>
        <w:instrText xml:space="preserve"> PAGEREF _Toc125109241 \h </w:instrText>
      </w:r>
      <w:r>
        <w:fldChar w:fldCharType="separate"/>
      </w:r>
      <w:r>
        <w:t>29</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"_Toc125109242" </w:instrText>
      </w:r>
      <w:r>
        <w:fldChar w:fldCharType="separate"/>
      </w:r>
      <w:r>
        <w:rPr>
          <w:rStyle w:val="22"/>
          <w:lang w:bidi="en-US"/>
        </w:rPr>
        <w:t>Candidate Instructions</w:t>
      </w:r>
      <w:r>
        <w:tab/>
      </w:r>
      <w:r>
        <w:fldChar w:fldCharType="begin"/>
      </w:r>
      <w:r>
        <w:instrText xml:space="preserve"> PAGEREF _Toc125109242 \h </w:instrText>
      </w:r>
      <w:r>
        <w:fldChar w:fldCharType="separate"/>
      </w:r>
      <w:r>
        <w:t>29</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"_Toc125109243" </w:instrText>
      </w:r>
      <w:r>
        <w:fldChar w:fldCharType="separate"/>
      </w:r>
      <w:r>
        <w:rPr>
          <w:rStyle w:val="22"/>
          <w:lang w:bidi="en-US"/>
        </w:rPr>
        <w:t>Preliminary Assessment Information</w:t>
      </w:r>
      <w:r>
        <w:tab/>
      </w:r>
      <w:r>
        <w:fldChar w:fldCharType="begin"/>
      </w:r>
      <w:r>
        <w:instrText xml:space="preserve"> PAGEREF _Toc125109243 \h </w:instrText>
      </w:r>
      <w:r>
        <w:fldChar w:fldCharType="separate"/>
      </w:r>
      <w:r>
        <w:t>30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"_Toc125109244" </w:instrText>
      </w:r>
      <w:r>
        <w:fldChar w:fldCharType="separate"/>
      </w:r>
      <w:r>
        <w:rPr>
          <w:rStyle w:val="22"/>
          <w:lang w:bidi="en-US"/>
        </w:rPr>
        <w:t>Practical Assignment</w:t>
      </w:r>
      <w:r>
        <w:tab/>
      </w:r>
      <w:r>
        <w:fldChar w:fldCharType="begin"/>
      </w:r>
      <w:r>
        <w:instrText xml:space="preserve"> PAGEREF _Toc125109244 \h </w:instrText>
      </w:r>
      <w:r>
        <w:fldChar w:fldCharType="separate"/>
      </w:r>
      <w:r>
        <w:t>31</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"_Toc125109245" </w:instrText>
      </w:r>
      <w:r>
        <w:fldChar w:fldCharType="separate"/>
      </w:r>
      <w:r>
        <w:rPr>
          <w:rStyle w:val="22"/>
          <w:lang w:bidi="en-US"/>
        </w:rPr>
        <w:t>Overview</w:t>
      </w:r>
      <w:r>
        <w:tab/>
      </w:r>
      <w:r>
        <w:fldChar w:fldCharType="begin"/>
      </w:r>
      <w:r>
        <w:instrText xml:space="preserve"> PAGEREF _Toc125109245 \h </w:instrText>
      </w:r>
      <w:r>
        <w:fldChar w:fldCharType="separate"/>
      </w:r>
      <w:r>
        <w:t>31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"_Toc125109246" </w:instrText>
      </w:r>
      <w:r>
        <w:fldChar w:fldCharType="separate"/>
      </w:r>
      <w:r>
        <w:rPr>
          <w:rStyle w:val="22"/>
          <w:lang w:bidi="en-US"/>
        </w:rPr>
        <w:t>Workplace Assessment</w:t>
      </w:r>
      <w:r>
        <w:tab/>
      </w:r>
      <w:r>
        <w:fldChar w:fldCharType="begin"/>
      </w:r>
      <w:r>
        <w:instrText xml:space="preserve"> PAGEREF _Toc125109246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"_Toc125109247" </w:instrText>
      </w:r>
      <w:r>
        <w:fldChar w:fldCharType="separate"/>
      </w:r>
      <w:r>
        <w:rPr>
          <w:rStyle w:val="22"/>
          <w:lang w:bidi="en-US"/>
        </w:rPr>
        <w:t>Overview</w:t>
      </w:r>
      <w:r>
        <w:tab/>
      </w:r>
      <w:r>
        <w:fldChar w:fldCharType="begin"/>
      </w:r>
      <w:r>
        <w:instrText xml:space="preserve"> PAGEREF _Toc125109247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"_Toc125109248" </w:instrText>
      </w:r>
      <w:r>
        <w:fldChar w:fldCharType="separate"/>
      </w:r>
      <w:r>
        <w:rPr>
          <w:rStyle w:val="22"/>
          <w:bCs/>
          <w:lang w:bidi="en-US"/>
        </w:rPr>
        <w:t>Task 1 Complete Safety Documentation</w:t>
      </w:r>
      <w:r>
        <w:tab/>
      </w:r>
      <w:r>
        <w:fldChar w:fldCharType="begin"/>
      </w:r>
      <w:r>
        <w:instrText xml:space="preserve"> PAGEREF _Toc125109248 \h </w:instrText>
      </w:r>
      <w:r>
        <w:fldChar w:fldCharType="separate"/>
      </w:r>
      <w:r>
        <w:t>43</w:t>
      </w:r>
      <w:r>
        <w:fldChar w:fldCharType="end"/>
      </w:r>
      <w:r>
        <w:fldChar w:fldCharType="end"/>
      </w:r>
    </w:p>
    <w:p>
      <w:pPr>
        <w:pStyle w:val="14"/>
        <w:rPr>
          <w:rFonts w:eastAsiaTheme="minorEastAsia"/>
          <w:color w:val="auto"/>
          <w:sz w:val="22"/>
          <w:lang w:eastAsia="en-AU"/>
        </w:rPr>
      </w:pPr>
      <w:r>
        <w:fldChar w:fldCharType="begin"/>
      </w:r>
      <w:r>
        <w:instrText xml:space="preserve"> HYPERLINK \l "_Toc125109249" </w:instrText>
      </w:r>
      <w:r>
        <w:fldChar w:fldCharType="separate"/>
      </w:r>
      <w:r>
        <w:rPr>
          <w:rStyle w:val="22"/>
          <w:bCs/>
          <w:lang w:bidi="en-US"/>
        </w:rPr>
        <w:t>Task 2 Consultations</w:t>
      </w:r>
      <w:r>
        <w:tab/>
      </w:r>
      <w:r>
        <w:fldChar w:fldCharType="begin"/>
      </w:r>
      <w:r>
        <w:instrText xml:space="preserve"> PAGEREF _Toc125109249 \h </w:instrText>
      </w:r>
      <w:r>
        <w:fldChar w:fldCharType="separate"/>
      </w:r>
      <w:r>
        <w:t>44</w:t>
      </w:r>
      <w:r>
        <w:fldChar w:fldCharType="end"/>
      </w:r>
      <w:r>
        <w:fldChar w:fldCharType="end"/>
      </w:r>
    </w:p>
    <w:p>
      <w:pPr>
        <w:pStyle w:val="8"/>
        <w:rPr>
          <w:rFonts w:eastAsiaTheme="minorEastAsia"/>
          <w:color w:val="auto"/>
          <w:sz w:val="22"/>
          <w:lang w:eastAsia="en-AU"/>
        </w:rPr>
      </w:pPr>
      <w:r>
        <w:fldChar w:fldCharType="begin"/>
      </w:r>
      <w:r>
        <w:instrText xml:space="preserve"> HYPERLINK \l "_Toc125109250" </w:instrText>
      </w:r>
      <w:r>
        <w:fldChar w:fldCharType="separate"/>
      </w:r>
      <w:r>
        <w:rPr>
          <w:rStyle w:val="22"/>
          <w:rFonts w:cstheme="minorHAnsi"/>
          <w:lang w:val="en-GB" w:bidi="en-US"/>
        </w:rPr>
        <w:t>Task 2.1 Consult with Workers</w:t>
      </w:r>
      <w:r>
        <w:tab/>
      </w:r>
      <w:r>
        <w:fldChar w:fldCharType="begin"/>
      </w:r>
      <w:r>
        <w:instrText xml:space="preserve"> PAGEREF _Toc125109250 \h </w:instrText>
      </w:r>
      <w:r>
        <w:fldChar w:fldCharType="separate"/>
      </w:r>
      <w:r>
        <w:t>44</w:t>
      </w:r>
      <w:r>
        <w:fldChar w:fldCharType="end"/>
      </w:r>
      <w:r>
        <w:fldChar w:fldCharType="end"/>
      </w:r>
    </w:p>
    <w:p>
      <w:pPr>
        <w:pStyle w:val="8"/>
        <w:rPr>
          <w:rFonts w:eastAsiaTheme="minorEastAsia"/>
          <w:color w:val="auto"/>
          <w:sz w:val="22"/>
          <w:lang w:eastAsia="en-AU"/>
        </w:rPr>
      </w:pPr>
      <w:r>
        <w:fldChar w:fldCharType="begin"/>
      </w:r>
      <w:r>
        <w:instrText xml:space="preserve"> HYPERLINK \l "_Toc125109251" </w:instrText>
      </w:r>
      <w:r>
        <w:fldChar w:fldCharType="separate"/>
      </w:r>
      <w:r>
        <w:rPr>
          <w:rStyle w:val="22"/>
          <w:rFonts w:cstheme="minorHAnsi"/>
          <w:lang w:val="en-GB" w:bidi="en-US"/>
        </w:rPr>
        <w:t>Task 2.2 Consult with WHS Experts</w:t>
      </w:r>
      <w:r>
        <w:tab/>
      </w:r>
      <w:r>
        <w:fldChar w:fldCharType="begin"/>
      </w:r>
      <w:r>
        <w:instrText xml:space="preserve"> PAGEREF _Toc125109251 \h </w:instrText>
      </w:r>
      <w:r>
        <w:fldChar w:fldCharType="separate"/>
      </w:r>
      <w:r>
        <w:t>45</w:t>
      </w:r>
      <w:r>
        <w:fldChar w:fldCharType="end"/>
      </w:r>
      <w:r>
        <w:fldChar w:fldCharType="end"/>
      </w:r>
    </w:p>
    <w:p>
      <w:pPr>
        <w:pStyle w:val="14"/>
        <w:rPr>
          <w:rFonts w:eastAsiaTheme="minorEastAsia"/>
          <w:color w:val="auto"/>
          <w:sz w:val="22"/>
          <w:lang w:eastAsia="en-AU"/>
        </w:rPr>
      </w:pPr>
      <w:r>
        <w:fldChar w:fldCharType="begin"/>
      </w:r>
      <w:r>
        <w:instrText xml:space="preserve"> HYPERLINK \l "_Toc125109252" </w:instrText>
      </w:r>
      <w:r>
        <w:fldChar w:fldCharType="separate"/>
      </w:r>
      <w:r>
        <w:rPr>
          <w:rStyle w:val="22"/>
          <w:bCs/>
          <w:lang w:bidi="en-US"/>
        </w:rPr>
        <w:t>Task 3 Workplace Safety Documents</w:t>
      </w:r>
      <w:r>
        <w:tab/>
      </w:r>
      <w:r>
        <w:fldChar w:fldCharType="begin"/>
      </w:r>
      <w:r>
        <w:instrText xml:space="preserve"> PAGEREF _Toc125109252 \h </w:instrText>
      </w:r>
      <w:r>
        <w:fldChar w:fldCharType="separate"/>
      </w:r>
      <w:r>
        <w:t>46</w:t>
      </w:r>
      <w:r>
        <w:fldChar w:fldCharType="end"/>
      </w:r>
      <w:r>
        <w:fldChar w:fldCharType="end"/>
      </w:r>
    </w:p>
    <w:p>
      <w:pPr>
        <w:pStyle w:val="8"/>
        <w:rPr>
          <w:rFonts w:eastAsiaTheme="minorEastAsia"/>
          <w:color w:val="auto"/>
          <w:sz w:val="22"/>
          <w:lang w:eastAsia="en-AU"/>
        </w:rPr>
      </w:pPr>
      <w:r>
        <w:fldChar w:fldCharType="begin"/>
      </w:r>
      <w:r>
        <w:instrText xml:space="preserve"> HYPERLINK \l "_Toc125109253" </w:instrText>
      </w:r>
      <w:r>
        <w:fldChar w:fldCharType="separate"/>
      </w:r>
      <w:r>
        <w:rPr>
          <w:rStyle w:val="22"/>
          <w:rFonts w:cstheme="minorHAnsi"/>
          <w:lang w:val="en-GB" w:bidi="en-US"/>
        </w:rPr>
        <w:t>Task 3.1 Complete a Workplace Inspection Report</w:t>
      </w:r>
      <w:r>
        <w:tab/>
      </w:r>
      <w:r>
        <w:fldChar w:fldCharType="begin"/>
      </w:r>
      <w:r>
        <w:instrText xml:space="preserve"> PAGEREF _Toc125109253 \h </w:instrText>
      </w:r>
      <w:r>
        <w:fldChar w:fldCharType="separate"/>
      </w:r>
      <w:r>
        <w:t>46</w:t>
      </w:r>
      <w:r>
        <w:fldChar w:fldCharType="end"/>
      </w:r>
      <w:r>
        <w:fldChar w:fldCharType="end"/>
      </w:r>
    </w:p>
    <w:p>
      <w:pPr>
        <w:pStyle w:val="8"/>
        <w:rPr>
          <w:rFonts w:eastAsiaTheme="minorEastAsia"/>
          <w:color w:val="auto"/>
          <w:sz w:val="22"/>
          <w:lang w:eastAsia="en-AU"/>
        </w:rPr>
      </w:pPr>
      <w:r>
        <w:fldChar w:fldCharType="begin"/>
      </w:r>
      <w:r>
        <w:instrText xml:space="preserve"> HYPERLINK \l "_Toc125109254" </w:instrText>
      </w:r>
      <w:r>
        <w:fldChar w:fldCharType="separate"/>
      </w:r>
      <w:r>
        <w:rPr>
          <w:rStyle w:val="22"/>
          <w:rFonts w:cstheme="minorHAnsi"/>
          <w:lang w:val="en-GB" w:bidi="en-US"/>
        </w:rPr>
        <w:t>Task 3.2 Complete a Workplace Safety Plan</w:t>
      </w:r>
      <w:r>
        <w:tab/>
      </w:r>
      <w:r>
        <w:fldChar w:fldCharType="begin"/>
      </w:r>
      <w:r>
        <w:instrText xml:space="preserve"> PAGEREF _Toc125109254 \h </w:instrText>
      </w:r>
      <w:r>
        <w:fldChar w:fldCharType="separate"/>
      </w:r>
      <w:r>
        <w:t>47</w:t>
      </w:r>
      <w:r>
        <w:fldChar w:fldCharType="end"/>
      </w:r>
      <w:r>
        <w:fldChar w:fldCharType="end"/>
      </w:r>
    </w:p>
    <w:p>
      <w:pPr>
        <w:pStyle w:val="14"/>
        <w:rPr>
          <w:rFonts w:eastAsiaTheme="minorEastAsia"/>
          <w:color w:val="auto"/>
          <w:sz w:val="22"/>
          <w:lang w:eastAsia="en-AU"/>
        </w:rPr>
      </w:pPr>
      <w:r>
        <w:fldChar w:fldCharType="begin"/>
      </w:r>
      <w:r>
        <w:instrText xml:space="preserve"> HYPERLINK \l "_Toc125109255" </w:instrText>
      </w:r>
      <w:r>
        <w:fldChar w:fldCharType="separate"/>
      </w:r>
      <w:r>
        <w:rPr>
          <w:rStyle w:val="22"/>
          <w:bCs/>
          <w:lang w:bidi="en-US"/>
        </w:rPr>
        <w:t>Task 4 Implement WHS Processes</w:t>
      </w:r>
      <w:r>
        <w:tab/>
      </w:r>
      <w:r>
        <w:fldChar w:fldCharType="begin"/>
      </w:r>
      <w:r>
        <w:instrText xml:space="preserve"> PAGEREF _Toc125109255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"_Toc125109256" </w:instrText>
      </w:r>
      <w:r>
        <w:fldChar w:fldCharType="separate"/>
      </w:r>
      <w:r>
        <w:rPr>
          <w:rStyle w:val="22"/>
          <w:bCs/>
          <w:lang w:bidi="en-US"/>
        </w:rPr>
        <w:t>Task 5 Identifying Training Requirements</w:t>
      </w:r>
      <w:r>
        <w:tab/>
      </w:r>
      <w:r>
        <w:fldChar w:fldCharType="begin"/>
      </w:r>
      <w:r>
        <w:instrText xml:space="preserve"> PAGEREF _Toc125109256 \h </w:instrText>
      </w:r>
      <w:r>
        <w:fldChar w:fldCharType="separate"/>
      </w:r>
      <w:r>
        <w:t>49</w:t>
      </w:r>
      <w:r>
        <w:fldChar w:fldCharType="end"/>
      </w:r>
      <w:r>
        <w:fldChar w:fldCharType="end"/>
      </w:r>
    </w:p>
    <w:p>
      <w:pPr>
        <w:pStyle w:val="14"/>
        <w:rPr>
          <w:rFonts w:eastAsiaTheme="minorEastAsia"/>
          <w:color w:val="auto"/>
          <w:sz w:val="22"/>
          <w:lang w:eastAsia="en-AU"/>
        </w:rPr>
      </w:pPr>
      <w:r>
        <w:fldChar w:fldCharType="begin"/>
      </w:r>
      <w:r>
        <w:instrText xml:space="preserve"> HYPERLINK \l "_Toc125109257" </w:instrText>
      </w:r>
      <w:r>
        <w:fldChar w:fldCharType="separate"/>
      </w:r>
      <w:r>
        <w:rPr>
          <w:rStyle w:val="22"/>
          <w:bCs/>
          <w:lang w:bidi="en-US"/>
        </w:rPr>
        <w:t>Task 6 Resolve Issues</w:t>
      </w:r>
      <w:r>
        <w:tab/>
      </w:r>
      <w:r>
        <w:fldChar w:fldCharType="begin"/>
      </w:r>
      <w:r>
        <w:instrText xml:space="preserve"> PAGEREF _Toc125109257 \h </w:instrText>
      </w:r>
      <w:r>
        <w:fldChar w:fldCharType="separate"/>
      </w:r>
      <w:r>
        <w:t>50</w:t>
      </w:r>
      <w:r>
        <w:fldChar w:fldCharType="end"/>
      </w:r>
      <w:r>
        <w:fldChar w:fldCharType="end"/>
      </w:r>
    </w:p>
    <w:p>
      <w:pPr>
        <w:pStyle w:val="8"/>
        <w:rPr>
          <w:rFonts w:eastAsiaTheme="minorEastAsia"/>
          <w:color w:val="auto"/>
          <w:sz w:val="22"/>
          <w:lang w:eastAsia="en-AU"/>
        </w:rPr>
      </w:pPr>
      <w:r>
        <w:fldChar w:fldCharType="begin"/>
      </w:r>
      <w:r>
        <w:instrText xml:space="preserve"> HYPERLINK \l "_Toc125109258" </w:instrText>
      </w:r>
      <w:r>
        <w:fldChar w:fldCharType="separate"/>
      </w:r>
      <w:r>
        <w:rPr>
          <w:rStyle w:val="22"/>
          <w:rFonts w:cstheme="minorHAnsi"/>
          <w:lang w:val="en-GB" w:bidi="en-US"/>
        </w:rPr>
        <w:t>Task 6.1 Resolve Safety Issues</w:t>
      </w:r>
      <w:r>
        <w:tab/>
      </w:r>
      <w:r>
        <w:fldChar w:fldCharType="begin"/>
      </w:r>
      <w:r>
        <w:instrText xml:space="preserve"> PAGEREF _Toc125109258 \h </w:instrText>
      </w:r>
      <w:r>
        <w:fldChar w:fldCharType="separate"/>
      </w:r>
      <w:r>
        <w:t>50</w:t>
      </w:r>
      <w:r>
        <w:fldChar w:fldCharType="end"/>
      </w:r>
      <w:r>
        <w:fldChar w:fldCharType="end"/>
      </w:r>
    </w:p>
    <w:p>
      <w:pPr>
        <w:pStyle w:val="8"/>
        <w:rPr>
          <w:rFonts w:eastAsiaTheme="minorEastAsia"/>
          <w:color w:val="auto"/>
          <w:sz w:val="22"/>
          <w:lang w:eastAsia="en-AU"/>
        </w:rPr>
      </w:pPr>
      <w:r>
        <w:fldChar w:fldCharType="begin"/>
      </w:r>
      <w:r>
        <w:instrText xml:space="preserve"> HYPERLINK \l "_Toc125109259" </w:instrText>
      </w:r>
      <w:r>
        <w:fldChar w:fldCharType="separate"/>
      </w:r>
      <w:r>
        <w:rPr>
          <w:rStyle w:val="22"/>
          <w:rFonts w:cstheme="minorHAnsi"/>
          <w:lang w:val="en-GB" w:bidi="en-US"/>
        </w:rPr>
        <w:t>Task 6.2 Resolve Workplace Conflict</w:t>
      </w:r>
      <w:r>
        <w:tab/>
      </w:r>
      <w:r>
        <w:fldChar w:fldCharType="begin"/>
      </w:r>
      <w:r>
        <w:instrText xml:space="preserve"> PAGEREF _Toc125109259 \h </w:instrText>
      </w:r>
      <w:r>
        <w:fldChar w:fldCharType="separate"/>
      </w:r>
      <w:r>
        <w:t>51</w:t>
      </w:r>
      <w:r>
        <w:fldChar w:fldCharType="end"/>
      </w:r>
      <w:r>
        <w:fldChar w:fldCharType="end"/>
      </w:r>
    </w:p>
    <w:p>
      <w:pPr>
        <w:pStyle w:val="14"/>
        <w:rPr>
          <w:rFonts w:eastAsiaTheme="minorEastAsia"/>
          <w:color w:val="auto"/>
          <w:sz w:val="22"/>
          <w:lang w:eastAsia="en-AU"/>
        </w:rPr>
      </w:pPr>
      <w:r>
        <w:fldChar w:fldCharType="begin"/>
      </w:r>
      <w:r>
        <w:instrText xml:space="preserve"> HYPERLINK \l "_Toc125109260" </w:instrText>
      </w:r>
      <w:r>
        <w:fldChar w:fldCharType="separate"/>
      </w:r>
      <w:r>
        <w:rPr>
          <w:rStyle w:val="22"/>
          <w:bCs/>
          <w:lang w:bidi="en-US"/>
        </w:rPr>
        <w:t>Task 7 Workplace Audits</w:t>
      </w:r>
      <w:r>
        <w:tab/>
      </w:r>
      <w:r>
        <w:fldChar w:fldCharType="begin"/>
      </w:r>
      <w:r>
        <w:instrText xml:space="preserve"> PAGEREF _Toc125109260 \h </w:instrText>
      </w:r>
      <w:r>
        <w:fldChar w:fldCharType="separate"/>
      </w:r>
      <w:r>
        <w:t>52</w:t>
      </w:r>
      <w:r>
        <w:fldChar w:fldCharType="end"/>
      </w:r>
      <w:r>
        <w:fldChar w:fldCharType="end"/>
      </w:r>
    </w:p>
    <w:p>
      <w:pPr>
        <w:pStyle w:val="8"/>
        <w:rPr>
          <w:rFonts w:eastAsiaTheme="minorEastAsia"/>
          <w:color w:val="auto"/>
          <w:sz w:val="22"/>
          <w:lang w:eastAsia="en-AU"/>
        </w:rPr>
      </w:pPr>
      <w:r>
        <w:fldChar w:fldCharType="begin"/>
      </w:r>
      <w:r>
        <w:instrText xml:space="preserve"> HYPERLINK \l "_Toc125109261" </w:instrText>
      </w:r>
      <w:r>
        <w:fldChar w:fldCharType="separate"/>
      </w:r>
      <w:r>
        <w:rPr>
          <w:rStyle w:val="22"/>
          <w:rFonts w:cstheme="minorHAnsi"/>
          <w:lang w:val="en-GB" w:bidi="en-US"/>
        </w:rPr>
        <w:t>Task 7.1 Monitor Control Measures</w:t>
      </w:r>
      <w:r>
        <w:tab/>
      </w:r>
      <w:r>
        <w:fldChar w:fldCharType="begin"/>
      </w:r>
      <w:r>
        <w:instrText xml:space="preserve"> PAGEREF _Toc125109261 \h </w:instrText>
      </w:r>
      <w:r>
        <w:fldChar w:fldCharType="separate"/>
      </w:r>
      <w:r>
        <w:t>52</w:t>
      </w:r>
      <w:r>
        <w:fldChar w:fldCharType="end"/>
      </w:r>
      <w:r>
        <w:fldChar w:fldCharType="end"/>
      </w:r>
    </w:p>
    <w:p>
      <w:pPr>
        <w:pStyle w:val="8"/>
        <w:rPr>
          <w:rFonts w:eastAsiaTheme="minorEastAsia"/>
          <w:color w:val="auto"/>
          <w:sz w:val="22"/>
          <w:lang w:eastAsia="en-AU"/>
        </w:rPr>
      </w:pPr>
      <w:r>
        <w:fldChar w:fldCharType="begin"/>
      </w:r>
      <w:r>
        <w:instrText xml:space="preserve"> HYPERLINK \l "_Toc125109262" </w:instrText>
      </w:r>
      <w:r>
        <w:fldChar w:fldCharType="separate"/>
      </w:r>
      <w:r>
        <w:rPr>
          <w:rStyle w:val="22"/>
          <w:rFonts w:cstheme="minorHAnsi"/>
          <w:lang w:val="en-GB" w:bidi="en-US"/>
        </w:rPr>
        <w:t>Task 7.2 Create an Audit Report</w:t>
      </w:r>
      <w:r>
        <w:tab/>
      </w:r>
      <w:r>
        <w:fldChar w:fldCharType="begin"/>
      </w:r>
      <w:r>
        <w:instrText xml:space="preserve"> PAGEREF _Toc125109262 \h </w:instrText>
      </w:r>
      <w:r>
        <w:fldChar w:fldCharType="separate"/>
      </w:r>
      <w:r>
        <w:t>53</w:t>
      </w:r>
      <w:r>
        <w:fldChar w:fldCharType="end"/>
      </w:r>
      <w:r>
        <w:fldChar w:fldCharType="end"/>
      </w:r>
    </w:p>
    <w:p>
      <w:pPr>
        <w:pStyle w:val="8"/>
        <w:rPr>
          <w:rFonts w:eastAsiaTheme="minorEastAsia"/>
          <w:color w:val="auto"/>
          <w:sz w:val="22"/>
          <w:lang w:eastAsia="en-AU"/>
        </w:rPr>
      </w:pPr>
      <w:r>
        <w:fldChar w:fldCharType="begin"/>
      </w:r>
      <w:r>
        <w:instrText xml:space="preserve"> HYPERLINK \l "_Toc125109263" </w:instrText>
      </w:r>
      <w:r>
        <w:fldChar w:fldCharType="separate"/>
      </w:r>
      <w:r>
        <w:rPr>
          <w:rStyle w:val="22"/>
          <w:rFonts w:cstheme="minorHAnsi"/>
          <w:lang w:val="en-GB" w:bidi="en-US"/>
        </w:rPr>
        <w:t>Task 7.3 Address Non-Compliance</w:t>
      </w:r>
      <w:r>
        <w:tab/>
      </w:r>
      <w:r>
        <w:fldChar w:fldCharType="begin"/>
      </w:r>
      <w:r>
        <w:instrText xml:space="preserve"> PAGEREF _Toc125109263 \h </w:instrText>
      </w:r>
      <w:r>
        <w:fldChar w:fldCharType="separate"/>
      </w:r>
      <w:r>
        <w:t>54</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"_Toc125109264" </w:instrText>
      </w:r>
      <w:r>
        <w:fldChar w:fldCharType="separate"/>
      </w:r>
      <w:r>
        <w:rPr>
          <w:rStyle w:val="22"/>
          <w:lang w:bidi="en-US"/>
        </w:rPr>
        <w:t>Assessment Workbook Checklist</w:t>
      </w:r>
      <w:r>
        <w:tab/>
      </w:r>
      <w:r>
        <w:fldChar w:fldCharType="begin"/>
      </w:r>
      <w:r>
        <w:instrText xml:space="preserve"> PAGEREF _Toc125109264 \h </w:instrText>
      </w:r>
      <w:r>
        <w:fldChar w:fldCharType="separate"/>
      </w:r>
      <w:r>
        <w:t>55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"_Toc125109265" </w:instrText>
      </w:r>
      <w:r>
        <w:fldChar w:fldCharType="separate"/>
      </w:r>
      <w:r>
        <w:rPr>
          <w:rStyle w:val="22"/>
          <w:lang w:bidi="en-US"/>
        </w:rPr>
        <w:t>Record of Assessment (Assessor’s Use Only)</w:t>
      </w:r>
      <w:r>
        <w:tab/>
      </w:r>
      <w:r>
        <w:fldChar w:fldCharType="begin"/>
      </w:r>
      <w:r>
        <w:instrText xml:space="preserve"> PAGEREF _Toc125109265 \h </w:instrText>
      </w:r>
      <w:r>
        <w:fldChar w:fldCharType="separate"/>
      </w:r>
      <w:r>
        <w:t>61</w:t>
      </w:r>
      <w:r>
        <w:fldChar w:fldCharType="end"/>
      </w:r>
      <w:r>
        <w:fldChar w:fldCharType="end"/>
      </w:r>
    </w:p>
    <w:p>
      <w:pPr>
        <w:ind w:left="0" w:firstLine="0"/>
        <w:rPr>
          <w:rFonts w:eastAsiaTheme="minorEastAsia"/>
          <w:lang w:eastAsia="en-PH"/>
        </w:rPr>
      </w:pPr>
      <w:r>
        <w:rPr>
          <w:color w:val="2F5496" w:themeColor="accent1" w:themeShade="BF"/>
        </w:rPr>
        <w:fldChar w:fldCharType="end"/>
      </w:r>
      <w:r>
        <w:br w:type="page"/>
      </w:r>
    </w:p>
    <w:p>
      <w:pPr>
        <w:pStyle w:val="2"/>
        <w:rPr>
          <w:lang w:val="en-AU"/>
        </w:rPr>
      </w:pPr>
      <w:bookmarkStart w:id="28" w:name="_Toc125109230"/>
      <w:r>
        <w:rPr>
          <w:lang w:val="en-AU"/>
        </w:rPr>
        <w:t>Introduction</w:t>
      </w:r>
      <w:bookmarkEnd w:id="28"/>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The assessments in this workbook are divided into three categories: Knowledge Assessment and Practical Assessment.</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The </w:t>
      </w:r>
      <w:r>
        <w:rPr>
          <w:b/>
          <w:color w:val="252525" w:themeColor="text1" w:themeTint="D9"/>
          <w:sz w:val="24"/>
        </w:rPr>
        <w:t>Knowledge Assessment</w:t>
      </w:r>
      <w:r>
        <w:rPr>
          <w:color w:val="252525" w:themeColor="text1" w:themeTint="D9"/>
          <w:sz w:val="24"/>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52525" w:themeColor="text1" w:themeTint="D9"/>
          <w:sz w:val="24"/>
        </w:rPr>
      </w:pPr>
      <w:r>
        <w:rPr>
          <w:b/>
          <w:color w:val="D73329"/>
          <w:sz w:val="24"/>
        </w:rPr>
        <w:t>You must answer all Knowledge Assessment Questions using your own words.</w:t>
      </w:r>
      <w:r>
        <w:rPr>
          <w:color w:val="D73329"/>
          <w:sz w:val="24"/>
        </w:rPr>
        <w:t xml:space="preserve"> </w:t>
      </w:r>
      <w:r>
        <w:rPr>
          <w:color w:val="252525" w:themeColor="text1" w:themeTint="D9"/>
          <w:sz w:val="24"/>
        </w:rPr>
        <w:t xml:space="preserve">However, you may </w:t>
      </w:r>
      <w:r>
        <w:rPr>
          <w:rFonts w:cstheme="minorHAnsi"/>
          <w:color w:val="252525" w:themeColor="text1" w:themeTint="D9"/>
          <w:sz w:val="24"/>
          <w:lang w:bidi="en-US"/>
        </w:rPr>
        <w:t xml:space="preserve">refer to </w:t>
      </w:r>
      <w:r>
        <w:rPr>
          <w:color w:val="252525" w:themeColor="text1" w:themeTint="D9"/>
          <w:sz w:val="24"/>
        </w:rPr>
        <w:t>your Learner Guide and other relevant resources and learning materials to complete this assessment.</w:t>
      </w:r>
    </w:p>
    <w:p>
      <w:pPr>
        <w:tabs>
          <w:tab w:val="left" w:pos="180"/>
        </w:tabs>
        <w:spacing w:after="120" w:line="276" w:lineRule="auto"/>
        <w:ind w:left="0" w:right="0" w:firstLine="0"/>
        <w:jc w:val="both"/>
        <w:rPr>
          <w:color w:val="252525" w:themeColor="text1" w:themeTint="D9"/>
          <w:sz w:val="20"/>
        </w:rPr>
      </w:pPr>
      <w:r>
        <w:rPr>
          <w:color w:val="252525"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The </w:t>
      </w:r>
      <w:r>
        <w:rPr>
          <w:b/>
          <w:color w:val="252525" w:themeColor="text1" w:themeTint="D9"/>
          <w:sz w:val="24"/>
        </w:rPr>
        <w:t>Practical Assessment</w:t>
      </w:r>
      <w:r>
        <w:rPr>
          <w:color w:val="252525" w:themeColor="text1" w:themeTint="D9"/>
          <w:sz w:val="24"/>
        </w:rPr>
        <w:t xml:space="preserve"> is made up of the </w:t>
      </w:r>
      <w:r>
        <w:rPr>
          <w:b/>
          <w:color w:val="252525" w:themeColor="text1" w:themeTint="D9"/>
          <w:sz w:val="24"/>
        </w:rPr>
        <w:t xml:space="preserve">Practical Assignment </w:t>
      </w:r>
      <w:r>
        <w:rPr>
          <w:bCs/>
          <w:color w:val="252525" w:themeColor="text1" w:themeTint="D9"/>
          <w:sz w:val="24"/>
        </w:rPr>
        <w:t xml:space="preserve">and </w:t>
      </w:r>
      <w:r>
        <w:rPr>
          <w:b/>
          <w:color w:val="252525" w:themeColor="text1" w:themeTint="D9"/>
          <w:sz w:val="24"/>
        </w:rPr>
        <w:t>Workplace Assessment.</w:t>
      </w:r>
      <w:r>
        <w:rPr>
          <w:color w:val="252525" w:themeColor="text1" w:themeTint="D9"/>
          <w:sz w:val="24"/>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When completing the assessments included in this workbook:</w:t>
      </w:r>
    </w:p>
    <w:p>
      <w:pPr>
        <w:pStyle w:val="24"/>
        <w:numPr>
          <w:ilvl w:val="0"/>
          <w:numId w:val="1"/>
        </w:numPr>
        <w:tabs>
          <w:tab w:val="left" w:pos="180"/>
        </w:tabs>
        <w:spacing w:after="120" w:line="276" w:lineRule="auto"/>
        <w:ind w:left="714" w:right="0" w:hanging="357"/>
        <w:contextualSpacing w:val="0"/>
        <w:jc w:val="both"/>
        <w:rPr>
          <w:color w:val="252525" w:themeColor="text1" w:themeTint="D9"/>
          <w:sz w:val="24"/>
        </w:rPr>
      </w:pPr>
      <w:r>
        <w:rPr>
          <w:color w:val="252525" w:themeColor="text1" w:themeTint="D9"/>
          <w:sz w:val="24"/>
        </w:rPr>
        <w:t>Read the instructions provided in each task carefully before attempting to complete the task. The instructions will guide you on how to answer the question or complete the task satisfactorily.</w:t>
      </w:r>
    </w:p>
    <w:p>
      <w:pPr>
        <w:pStyle w:val="24"/>
        <w:numPr>
          <w:ilvl w:val="0"/>
          <w:numId w:val="1"/>
        </w:numPr>
        <w:tabs>
          <w:tab w:val="left" w:pos="180"/>
        </w:tabs>
        <w:spacing w:after="120" w:line="276" w:lineRule="auto"/>
        <w:ind w:left="714" w:right="0" w:hanging="357"/>
        <w:contextualSpacing w:val="0"/>
        <w:jc w:val="both"/>
        <w:rPr>
          <w:color w:val="252525" w:themeColor="text1" w:themeTint="D9"/>
          <w:sz w:val="24"/>
        </w:rPr>
      </w:pPr>
      <w:r>
        <w:rPr>
          <w:color w:val="252525" w:themeColor="text1" w:themeTint="D9"/>
          <w:sz w:val="24"/>
        </w:rPr>
        <w:t xml:space="preserve">Follow the steps provided in each task. </w:t>
      </w:r>
    </w:p>
    <w:p>
      <w:pPr>
        <w:pStyle w:val="24"/>
        <w:numPr>
          <w:ilvl w:val="1"/>
          <w:numId w:val="2"/>
        </w:numPr>
        <w:tabs>
          <w:tab w:val="left" w:pos="180"/>
        </w:tabs>
        <w:spacing w:after="120" w:line="276" w:lineRule="auto"/>
        <w:ind w:left="1418" w:right="0"/>
        <w:contextualSpacing w:val="0"/>
        <w:jc w:val="both"/>
        <w:rPr>
          <w:color w:val="252525" w:themeColor="text1" w:themeTint="D9"/>
          <w:sz w:val="24"/>
        </w:rPr>
      </w:pPr>
      <w:r>
        <w:rPr>
          <w:color w:val="252525" w:themeColor="text1" w:themeTint="D9"/>
          <w:sz w:val="24"/>
        </w:rPr>
        <w:t xml:space="preserve">If the question </w:t>
      </w:r>
      <w:r>
        <w:rPr>
          <w:rFonts w:cstheme="minorHAnsi"/>
          <w:color w:val="252525" w:themeColor="text1" w:themeTint="D9"/>
          <w:sz w:val="24"/>
          <w:lang w:bidi="en-US"/>
        </w:rPr>
        <w:t xml:space="preserve">instructs </w:t>
      </w:r>
      <w:r>
        <w:rPr>
          <w:color w:val="252525" w:themeColor="text1" w:themeTint="D9"/>
          <w:sz w:val="24"/>
        </w:rPr>
        <w:t xml:space="preserve">you to describe, provide a description as your response. If the question </w:t>
      </w:r>
      <w:r>
        <w:rPr>
          <w:rFonts w:cstheme="minorHAnsi"/>
          <w:color w:val="252525" w:themeColor="text1" w:themeTint="D9"/>
          <w:sz w:val="24"/>
          <w:lang w:bidi="en-US"/>
        </w:rPr>
        <w:t xml:space="preserve">instructs </w:t>
      </w:r>
      <w:r>
        <w:rPr>
          <w:color w:val="252525" w:themeColor="text1" w:themeTint="D9"/>
          <w:sz w:val="24"/>
        </w:rPr>
        <w:t>you to list, provide a list as your response.</w:t>
      </w:r>
    </w:p>
    <w:p>
      <w:pPr>
        <w:pStyle w:val="24"/>
        <w:numPr>
          <w:ilvl w:val="1"/>
          <w:numId w:val="2"/>
        </w:numPr>
        <w:tabs>
          <w:tab w:val="left" w:pos="180"/>
        </w:tabs>
        <w:spacing w:after="120" w:line="276" w:lineRule="auto"/>
        <w:ind w:left="1418" w:right="0"/>
        <w:contextualSpacing w:val="0"/>
        <w:jc w:val="both"/>
        <w:rPr>
          <w:color w:val="252525" w:themeColor="text1" w:themeTint="D9"/>
          <w:sz w:val="24"/>
        </w:rPr>
      </w:pPr>
      <w:r>
        <w:rPr>
          <w:color w:val="252525" w:themeColor="text1" w:themeTint="D9"/>
          <w:sz w:val="24"/>
        </w:rPr>
        <w:t xml:space="preserve">Where there is a number of required responses, provide the required number of responses. For example, if you are asked to list three responses, provide three responses. </w:t>
      </w:r>
    </w:p>
    <w:p>
      <w:pPr>
        <w:pStyle w:val="24"/>
        <w:numPr>
          <w:ilvl w:val="0"/>
          <w:numId w:val="1"/>
        </w:numPr>
        <w:tabs>
          <w:tab w:val="left" w:pos="180"/>
        </w:tabs>
        <w:spacing w:after="120" w:line="276" w:lineRule="auto"/>
        <w:ind w:left="714" w:right="0" w:hanging="357"/>
        <w:contextualSpacing w:val="0"/>
        <w:jc w:val="both"/>
        <w:rPr>
          <w:color w:val="252525" w:themeColor="text1" w:themeTint="D9"/>
          <w:sz w:val="24"/>
        </w:rPr>
      </w:pPr>
      <w:r>
        <w:rPr>
          <w:color w:val="252525" w:themeColor="text1" w:themeTint="D9"/>
          <w:sz w:val="24"/>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52525" w:themeColor="text1" w:themeTint="D9"/>
          <w:sz w:val="24"/>
        </w:rPr>
      </w:pPr>
      <w:r>
        <w:rPr>
          <w:color w:val="252525" w:themeColor="text1" w:themeTint="D9"/>
          <w:sz w:val="20"/>
        </w:rPr>
        <w:br w:type="page"/>
      </w:r>
    </w:p>
    <w:p>
      <w:pPr>
        <w:pStyle w:val="2"/>
        <w:rPr>
          <w:lang w:val="en-AU"/>
        </w:rPr>
      </w:pPr>
      <w:bookmarkStart w:id="29" w:name="_Toc125109231"/>
      <w:r>
        <w:rPr>
          <w:lang w:val="en-AU"/>
        </w:rPr>
        <w:t>Competency-Based Assessments</w:t>
      </w:r>
      <w:bookmarkEnd w:id="29"/>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Definition of Competency</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Assessment in this context can be defined as </w:t>
      </w:r>
      <w:r>
        <w:rPr>
          <w:rFonts w:cstheme="minorHAnsi"/>
          <w:color w:val="252525" w:themeColor="text1" w:themeTint="D9"/>
          <w:sz w:val="24"/>
          <w:lang w:bidi="en-US"/>
        </w:rPr>
        <w:t>t</w:t>
      </w:r>
      <w:r>
        <w:rPr>
          <w:color w:val="252525" w:themeColor="text1" w:themeTint="D9"/>
          <w:sz w:val="24"/>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52525" w:themeColor="text1" w:themeTint="D9"/>
          <w:sz w:val="24"/>
        </w:rPr>
      </w:pP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The features of a competency-based assessment system are: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It is focused on what candidates can do and whether it meets the criteria specified by the industry as competency standards.</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should mirror the environment the candidate will encounter in the workplace.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criteria should be clearly stated to the candidate at the beginning of the learning process.</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should be holistic. That is, it aims to assess as many elements and/or units of competency as is feasible at one time.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In competency assessment, a candidate receives one of only two outcomes – </w:t>
      </w:r>
      <w:r>
        <w:rPr>
          <w:rFonts w:cstheme="minorHAnsi"/>
          <w:color w:val="252525" w:themeColor="text1" w:themeTint="D9"/>
          <w:sz w:val="24"/>
          <w:lang w:bidi="en-US"/>
        </w:rPr>
        <w:t>‘</w:t>
      </w:r>
      <w:r>
        <w:rPr>
          <w:color w:val="252525" w:themeColor="text1" w:themeTint="D9"/>
          <w:sz w:val="24"/>
        </w:rPr>
        <w:t>competent</w:t>
      </w:r>
      <w:r>
        <w:rPr>
          <w:rFonts w:cstheme="minorHAnsi"/>
          <w:color w:val="252525" w:themeColor="text1" w:themeTint="D9"/>
          <w:sz w:val="24"/>
          <w:lang w:bidi="en-US"/>
        </w:rPr>
        <w:t>’</w:t>
      </w:r>
      <w:r>
        <w:rPr>
          <w:color w:val="252525" w:themeColor="text1" w:themeTint="D9"/>
          <w:sz w:val="24"/>
        </w:rPr>
        <w:t xml:space="preserve"> or </w:t>
      </w:r>
      <w:r>
        <w:rPr>
          <w:rFonts w:cstheme="minorHAnsi"/>
          <w:color w:val="252525" w:themeColor="text1" w:themeTint="D9"/>
          <w:sz w:val="24"/>
          <w:lang w:bidi="en-US"/>
        </w:rPr>
        <w:t>‘</w:t>
      </w:r>
      <w:r>
        <w:rPr>
          <w:color w:val="252525" w:themeColor="text1" w:themeTint="D9"/>
          <w:sz w:val="24"/>
        </w:rPr>
        <w:t>not yet competent.</w:t>
      </w:r>
      <w:r>
        <w:rPr>
          <w:rFonts w:cstheme="minorHAnsi"/>
          <w:color w:val="252525" w:themeColor="text1" w:themeTint="D9"/>
          <w:sz w:val="24"/>
          <w:lang w:bidi="en-US"/>
        </w:rPr>
        <w:t>’</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The basis of assessment is in applying knowledge for some purpose. In a competency system, knowledge for the sake of knowledge is seen to be ineffectual unless it assists a person </w:t>
      </w:r>
      <w:r>
        <w:rPr>
          <w:rFonts w:cstheme="minorHAnsi"/>
          <w:color w:val="252525" w:themeColor="text1" w:themeTint="D9"/>
          <w:sz w:val="24"/>
          <w:lang w:bidi="en-US"/>
        </w:rPr>
        <w:t xml:space="preserve">in </w:t>
      </w:r>
      <w:r>
        <w:rPr>
          <w:color w:val="252525" w:themeColor="text1" w:themeTint="D9"/>
          <w:sz w:val="24"/>
        </w:rPr>
        <w:t>perform</w:t>
      </w:r>
      <w:r>
        <w:rPr>
          <w:rFonts w:cstheme="minorHAnsi"/>
          <w:color w:val="252525" w:themeColor="text1" w:themeTint="D9"/>
          <w:sz w:val="24"/>
          <w:lang w:bidi="en-US"/>
        </w:rPr>
        <w:t>ing</w:t>
      </w:r>
      <w:r>
        <w:rPr>
          <w:color w:val="252525" w:themeColor="text1" w:themeTint="D9"/>
          <w:sz w:val="24"/>
        </w:rPr>
        <w:t xml:space="preserve"> a task to the level required in the workplace.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52525" w:themeColor="text1" w:themeTint="D9"/>
          <w:sz w:val="24"/>
          <w:szCs w:val="24"/>
        </w:rPr>
      </w:pPr>
      <w:r>
        <w:rPr>
          <w:rFonts w:ascii="Arial" w:hAnsi="Arial" w:cs="Arial"/>
          <w:color w:val="252525" w:themeColor="text1" w:themeTint="D9"/>
          <w:sz w:val="24"/>
          <w:szCs w:val="24"/>
        </w:rPr>
        <w:br w:type="page"/>
      </w:r>
    </w:p>
    <w:p>
      <w:pPr>
        <w:pStyle w:val="2"/>
        <w:rPr>
          <w:lang w:val="en-AU"/>
        </w:rPr>
      </w:pPr>
      <w:bookmarkStart w:id="30" w:name="_Toc125109232"/>
      <w:bookmarkStart w:id="31" w:name="_Hlk38023988"/>
      <w:r>
        <w:rPr>
          <w:lang w:val="en-AU"/>
        </w:rPr>
        <w:t>Assessing Nationally-Recognised Training</w:t>
      </w:r>
      <w:bookmarkEnd w:id="30"/>
    </w:p>
    <w:bookmarkEnd w:id="31"/>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Developing and conducting assessment, in an Australian Vocational Education and Training </w:t>
      </w:r>
      <w:r>
        <w:rPr>
          <w:rFonts w:cstheme="minorHAnsi"/>
          <w:color w:val="252525" w:themeColor="text1" w:themeTint="D9"/>
          <w:sz w:val="24"/>
          <w:lang w:bidi="en-US"/>
        </w:rPr>
        <w:t xml:space="preserve">(VET) </w:t>
      </w:r>
      <w:r>
        <w:rPr>
          <w:color w:val="252525" w:themeColor="text1" w:themeTint="D9"/>
          <w:sz w:val="24"/>
        </w:rPr>
        <w:t>context, is founded on the Principles of Assessment and the Rules of Evidence:</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Principles of Assessment</w:t>
      </w:r>
    </w:p>
    <w:p>
      <w:pPr>
        <w:pStyle w:val="24"/>
        <w:numPr>
          <w:ilvl w:val="0"/>
          <w:numId w:val="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Assessment must be valid</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include the full range of skills and knowledge needed to demonstrate competency.</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include the combination of knowledge and skills with their practical application.</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where possible, must include judgements based on evidence drawn from a number of occasions and across a number of contexts.</w:t>
      </w:r>
    </w:p>
    <w:p>
      <w:pPr>
        <w:pStyle w:val="24"/>
        <w:numPr>
          <w:ilvl w:val="0"/>
          <w:numId w:val="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Assessment must be reliable</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be reliable and must be regularly reviewed to ensure that assessors are making decisions in a consistent manner.</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Assessors must be trained in national competency standards for assessors to ensure reliability.</w:t>
      </w:r>
    </w:p>
    <w:p>
      <w:pPr>
        <w:pStyle w:val="24"/>
        <w:numPr>
          <w:ilvl w:val="0"/>
          <w:numId w:val="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Assessment must be flexible</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where possible, must cover both the on</w:t>
      </w:r>
      <w:r>
        <w:rPr>
          <w:rFonts w:cstheme="minorHAnsi"/>
          <w:color w:val="252525" w:themeColor="text1" w:themeTint="D9"/>
          <w:sz w:val="24"/>
          <w:lang w:bidi="en-US"/>
        </w:rPr>
        <w:t>-</w:t>
      </w:r>
      <w:r>
        <w:rPr>
          <w:color w:val="252525" w:themeColor="text1" w:themeTint="D9"/>
          <w:sz w:val="24"/>
        </w:rPr>
        <w:t xml:space="preserve"> and off-the-job components of training within a course.</w:t>
      </w:r>
    </w:p>
    <w:p>
      <w:pPr>
        <w:pStyle w:val="24"/>
        <w:numPr>
          <w:ilvl w:val="1"/>
          <w:numId w:val="5"/>
        </w:numPr>
        <w:tabs>
          <w:tab w:val="left" w:pos="180"/>
        </w:tabs>
        <w:spacing w:after="120" w:line="276" w:lineRule="auto"/>
        <w:ind w:right="0"/>
        <w:contextualSpacing w:val="0"/>
        <w:jc w:val="both"/>
        <w:rPr>
          <w:rFonts w:ascii="Arial" w:hAnsi="Arial" w:cs="Arial"/>
          <w:color w:val="252525" w:themeColor="text1" w:themeTint="D9"/>
          <w:sz w:val="24"/>
          <w:szCs w:val="24"/>
        </w:rPr>
      </w:pPr>
      <w:r>
        <w:rPr>
          <w:color w:val="252525" w:themeColor="text1" w:themeTint="D9"/>
          <w:sz w:val="24"/>
        </w:rPr>
        <w:t>Assessment must provide for the recognition of knowledge, skills, and attitudes regardless of how they have been acquired.</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be made accessible to candidates through a variety of delivery modes, so they can proceed through modularised training packages to gain competencies.</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be mutually developed and agreed upon between assessor and the assessed.</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be able to be challenged. Appropriate mechanisms must be made for reassessment as a result of challenge.</w:t>
      </w:r>
    </w:p>
    <w:p>
      <w:pPr>
        <w:pStyle w:val="24"/>
        <w:numPr>
          <w:ilvl w:val="0"/>
          <w:numId w:val="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Assessment must be fair</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Assessment process must consider the individual needs of the candidate. </w:t>
      </w:r>
    </w:p>
    <w:p>
      <w:pPr>
        <w:pStyle w:val="24"/>
        <w:numPr>
          <w:ilvl w:val="1"/>
          <w:numId w:val="5"/>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Assessment must provide for reasonable adjustments, where appropriate, to consider the individual candidate’s needs.</w:t>
      </w:r>
    </w:p>
    <w:p>
      <w:pPr>
        <w:tabs>
          <w:tab w:val="left" w:pos="180"/>
        </w:tabs>
        <w:spacing w:after="120" w:line="276" w:lineRule="auto"/>
        <w:ind w:left="0" w:right="0" w:firstLine="0"/>
        <w:jc w:val="right"/>
        <w:rPr>
          <w:i/>
          <w:color w:val="252525" w:themeColor="text1" w:themeTint="D9"/>
          <w:sz w:val="20"/>
        </w:rPr>
      </w:pPr>
      <w:r>
        <w:rPr>
          <w:i/>
          <w:color w:val="252525" w:themeColor="text1" w:themeTint="D9"/>
          <w:sz w:val="20"/>
        </w:rPr>
        <w:t>(Source: Standards for RTOs 2015, Clauses 1.8 – 1.12)</w:t>
      </w:r>
    </w:p>
    <w:p>
      <w:pPr>
        <w:tabs>
          <w:tab w:val="left" w:pos="180"/>
        </w:tabs>
        <w:spacing w:after="120" w:line="276" w:lineRule="auto"/>
        <w:ind w:left="0" w:right="0" w:firstLine="0"/>
        <w:rPr>
          <w:i/>
          <w:color w:val="252525" w:themeColor="text1" w:themeTint="D9"/>
          <w:sz w:val="20"/>
        </w:rPr>
      </w:pP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Rules of Evidence</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When collecting evidence, certain rules apply to that evidence. All evidence must be valid, sufficient, authentic, and current:</w:t>
      </w:r>
    </w:p>
    <w:p>
      <w:pPr>
        <w:pStyle w:val="24"/>
        <w:numPr>
          <w:ilvl w:val="0"/>
          <w:numId w:val="6"/>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Valid</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Evidence gathered should meet the requirements of the unit of competency. This evidence should match, or at least reflect, the type of performance that is to be assessed, whether it covers knowledge, skills, or attitudes.</w:t>
      </w:r>
    </w:p>
    <w:p>
      <w:pPr>
        <w:pStyle w:val="24"/>
        <w:numPr>
          <w:ilvl w:val="0"/>
          <w:numId w:val="6"/>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Sufficient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This rule relates to the amount of evidence gathered. Enough evidence must be gathered to satisfy the requirements that the candidate be competent in all aspects of the unit of competency.</w:t>
      </w:r>
    </w:p>
    <w:p>
      <w:pPr>
        <w:pStyle w:val="24"/>
        <w:numPr>
          <w:ilvl w:val="0"/>
          <w:numId w:val="6"/>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Authentic</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 xml:space="preserve">When evidence is gathered, the assessor must be satisfied that evidence is the candidate’s own work. </w:t>
      </w:r>
    </w:p>
    <w:p>
      <w:pPr>
        <w:pStyle w:val="24"/>
        <w:numPr>
          <w:ilvl w:val="0"/>
          <w:numId w:val="6"/>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Current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This relates to the recency of the evidence and whether the evidence relates to current abilities.</w:t>
      </w:r>
    </w:p>
    <w:p>
      <w:pPr>
        <w:tabs>
          <w:tab w:val="left" w:pos="180"/>
        </w:tabs>
        <w:spacing w:after="120" w:line="276" w:lineRule="auto"/>
        <w:ind w:left="0" w:right="0" w:firstLine="0"/>
        <w:jc w:val="right"/>
        <w:rPr>
          <w:i/>
          <w:color w:val="252525" w:themeColor="text1" w:themeTint="D9"/>
          <w:sz w:val="20"/>
        </w:rPr>
      </w:pPr>
      <w:r>
        <w:rPr>
          <w:i/>
          <w:color w:val="252525" w:themeColor="text1" w:themeTint="D9"/>
          <w:sz w:val="20"/>
        </w:rPr>
        <w:t>(Source: Training in Australia by M Tovey, D Lawlor)</w:t>
      </w:r>
    </w:p>
    <w:p>
      <w:pPr>
        <w:tabs>
          <w:tab w:val="left" w:pos="180"/>
        </w:tabs>
        <w:spacing w:after="120" w:line="276" w:lineRule="auto"/>
        <w:ind w:left="0" w:right="0" w:firstLine="0"/>
        <w:jc w:val="right"/>
        <w:rPr>
          <w:i/>
          <w:color w:val="252525" w:themeColor="text1" w:themeTint="D9"/>
          <w:sz w:val="20"/>
        </w:rPr>
      </w:pPr>
    </w:p>
    <w:p>
      <w:pPr>
        <w:pStyle w:val="2"/>
        <w:rPr>
          <w:lang w:val="en-AU"/>
        </w:rPr>
      </w:pPr>
      <w:bookmarkStart w:id="32" w:name="_Toc125109233"/>
      <w:r>
        <w:rPr>
          <w:lang w:val="en-AU"/>
        </w:rPr>
        <w:t>Dimensions of Competency</w:t>
      </w:r>
      <w:bookmarkEnd w:id="32"/>
    </w:p>
    <w:p>
      <w:pPr>
        <w:tabs>
          <w:tab w:val="left" w:pos="180"/>
        </w:tabs>
        <w:spacing w:after="120" w:line="276" w:lineRule="auto"/>
        <w:ind w:left="0" w:right="0" w:firstLine="0"/>
        <w:rPr>
          <w:color w:val="252525" w:themeColor="text1" w:themeTint="D9"/>
          <w:sz w:val="24"/>
        </w:rPr>
      </w:pPr>
      <w:r>
        <w:rPr>
          <w:color w:val="252525" w:themeColor="text1" w:themeTint="D9"/>
          <w:sz w:val="24"/>
        </w:rPr>
        <w:t>The national concept of competency includes all aspects of work performance and not only narrow task skills. The four dimensions of competency are:</w:t>
      </w:r>
    </w:p>
    <w:p>
      <w:pPr>
        <w:pStyle w:val="24"/>
        <w:numPr>
          <w:ilvl w:val="0"/>
          <w:numId w:val="7"/>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Task skills</w:t>
      </w:r>
    </w:p>
    <w:p>
      <w:pPr>
        <w:pStyle w:val="24"/>
        <w:numPr>
          <w:ilvl w:val="0"/>
          <w:numId w:val="7"/>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Task management skills</w:t>
      </w:r>
    </w:p>
    <w:p>
      <w:pPr>
        <w:pStyle w:val="24"/>
        <w:numPr>
          <w:ilvl w:val="0"/>
          <w:numId w:val="7"/>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Contingency management skills</w:t>
      </w:r>
    </w:p>
    <w:p>
      <w:pPr>
        <w:pStyle w:val="24"/>
        <w:numPr>
          <w:ilvl w:val="0"/>
          <w:numId w:val="7"/>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Job or role environment skills</w:t>
      </w:r>
    </w:p>
    <w:p>
      <w:pPr>
        <w:spacing w:after="120" w:line="276" w:lineRule="auto"/>
        <w:ind w:right="0"/>
        <w:rPr>
          <w:color w:val="252525" w:themeColor="text1" w:themeTint="D9"/>
          <w:sz w:val="24"/>
        </w:rPr>
      </w:pPr>
      <w:r>
        <w:rPr>
          <w:color w:val="252525" w:themeColor="text1" w:themeTint="D9"/>
          <w:sz w:val="24"/>
        </w:rPr>
        <w:br w:type="page"/>
      </w:r>
    </w:p>
    <w:p>
      <w:pPr>
        <w:pStyle w:val="2"/>
        <w:rPr>
          <w:lang w:val="en-AU"/>
        </w:rPr>
      </w:pPr>
      <w:bookmarkStart w:id="33" w:name="_Toc125109234"/>
      <w:bookmarkStart w:id="34" w:name="_Hlk38023995"/>
      <w:r>
        <w:rPr>
          <w:lang w:val="en-AU"/>
        </w:rPr>
        <w:t>Reasonable Adjustment</w:t>
      </w:r>
      <w:bookmarkEnd w:id="33"/>
    </w:p>
    <w:bookmarkEnd w:id="34"/>
    <w:p>
      <w:pPr>
        <w:tabs>
          <w:tab w:val="left" w:pos="180"/>
        </w:tabs>
        <w:spacing w:after="120" w:line="276" w:lineRule="auto"/>
        <w:ind w:left="0" w:right="0" w:firstLine="0"/>
        <w:jc w:val="both"/>
        <w:rPr>
          <w:color w:val="252525" w:themeColor="text1" w:themeTint="D9"/>
          <w:sz w:val="24"/>
        </w:rPr>
      </w:pPr>
      <w:r>
        <w:rPr>
          <w:rFonts w:cstheme="minorHAnsi"/>
          <w:color w:val="252525" w:themeColor="text1" w:themeTint="D9"/>
          <w:sz w:val="24"/>
          <w:lang w:bidi="en-US"/>
        </w:rPr>
        <w:t>‘</w:t>
      </w:r>
      <w:r>
        <w:rPr>
          <w:color w:val="252525" w:themeColor="text1" w:themeTint="D9"/>
          <w:sz w:val="24"/>
        </w:rPr>
        <w:t>Reasonable adjustment</w:t>
      </w:r>
      <w:r>
        <w:rPr>
          <w:rFonts w:cstheme="minorHAnsi"/>
          <w:color w:val="252525" w:themeColor="text1" w:themeTint="D9"/>
          <w:sz w:val="24"/>
          <w:lang w:bidi="en-US"/>
        </w:rPr>
        <w:t>’</w:t>
      </w:r>
      <w:r>
        <w:rPr>
          <w:color w:val="252525" w:themeColor="text1" w:themeTint="D9"/>
          <w:sz w:val="24"/>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 xml:space="preserve">Why make a reasonable adjustment? </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We make reasonable adjustments in VET to make sure that candidates with a disability have: </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same learning opportunities as candidates without a disability, and</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The same opportunity to perform and complete assessments as those without a disability. </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Reasonable adjustment applied to participation in teaching, learning</w:t>
      </w:r>
      <w:r>
        <w:rPr>
          <w:rFonts w:cstheme="minorHAnsi"/>
          <w:b/>
          <w:color w:val="252525" w:themeColor="text1" w:themeTint="D9"/>
          <w:sz w:val="24"/>
          <w:lang w:bidi="en-US"/>
        </w:rPr>
        <w:t>,</w:t>
      </w:r>
      <w:r>
        <w:rPr>
          <w:b/>
          <w:color w:val="252525" w:themeColor="text1" w:themeTint="D9"/>
          <w:sz w:val="24"/>
        </w:rPr>
        <w:t xml:space="preserve"> and assessment activities can include: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Customising resources and assessment activities within the training package or accredited course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Modifying the presentation medium </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Learner support</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Use of assistive/adaptive technologies</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Making information accessible both before enrolment and during the course</w:t>
      </w:r>
    </w:p>
    <w:p>
      <w:pPr>
        <w:pStyle w:val="24"/>
        <w:numPr>
          <w:ilvl w:val="0"/>
          <w:numId w:val="3"/>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Monitoring the adjustments to ensure candidate needs continue to be met</w:t>
      </w:r>
    </w:p>
    <w:p>
      <w:pPr>
        <w:tabs>
          <w:tab w:val="left" w:pos="180"/>
        </w:tabs>
        <w:spacing w:after="120" w:line="276" w:lineRule="auto"/>
        <w:ind w:left="0" w:right="0" w:firstLine="0"/>
        <w:rPr>
          <w:color w:val="252525" w:themeColor="text1" w:themeTint="D9"/>
          <w:sz w:val="20"/>
        </w:rPr>
      </w:pPr>
      <w:r>
        <w:rPr>
          <w:b/>
          <w:color w:val="252525" w:themeColor="text1" w:themeTint="D9"/>
          <w:sz w:val="24"/>
        </w:rPr>
        <w:t>Assistive/Adaptive Technologies</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52525" w:themeColor="text1" w:themeTint="D9"/>
          <w:sz w:val="20"/>
          <w:lang w:bidi="en-US"/>
        </w:rPr>
      </w:pPr>
      <w:r>
        <w:rPr>
          <w:rFonts w:cstheme="minorHAnsi"/>
          <w:i/>
          <w:color w:val="252525" w:themeColor="text1" w:themeTint="D9"/>
          <w:sz w:val="20"/>
          <w:lang w:bidi="en-US"/>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rPr>
          <w:lang w:val="en-AU"/>
        </w:rPr>
      </w:pPr>
      <w:bookmarkStart w:id="35" w:name="_Toc125109235"/>
      <w:r>
        <w:rPr>
          <w:lang w:val="en-AU"/>
        </w:rPr>
        <w:t>The Unit of Competency</w:t>
      </w:r>
      <w:bookmarkEnd w:id="35"/>
    </w:p>
    <w:p>
      <w:pPr>
        <w:tabs>
          <w:tab w:val="left" w:pos="180"/>
        </w:tabs>
        <w:spacing w:after="120" w:line="276" w:lineRule="auto"/>
        <w:ind w:left="0" w:right="0" w:firstLine="0"/>
        <w:rPr>
          <w:color w:val="252525" w:themeColor="text1" w:themeTint="D9"/>
          <w:sz w:val="24"/>
        </w:rPr>
      </w:pPr>
      <w:r>
        <w:rPr>
          <w:color w:val="252525" w:themeColor="text1" w:themeTint="D9"/>
          <w:sz w:val="24"/>
        </w:rPr>
        <w:t>The units of competency specify the standards of performance required in the workplace.</w:t>
      </w:r>
    </w:p>
    <w:p>
      <w:pPr>
        <w:tabs>
          <w:tab w:val="left" w:pos="180"/>
        </w:tabs>
        <w:spacing w:after="120" w:line="276" w:lineRule="auto"/>
        <w:ind w:left="0" w:right="0" w:firstLine="0"/>
        <w:rPr>
          <w:color w:val="252525" w:themeColor="text1" w:themeTint="D9"/>
          <w:sz w:val="24"/>
        </w:rPr>
      </w:pPr>
      <w:r>
        <w:rPr>
          <w:color w:val="252525" w:themeColor="text1" w:themeTint="D9"/>
          <w:sz w:val="24"/>
        </w:rPr>
        <w:t>This assessment addresses the following unit of competency:</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CPCCBC4002 - Manage work health and safety in the building and construction workplace (Release 2)</w:t>
      </w:r>
    </w:p>
    <w:p>
      <w:pPr>
        <w:pStyle w:val="24"/>
        <w:numPr>
          <w:ilvl w:val="0"/>
          <w:numId w:val="8"/>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 workplace risk</w:t>
      </w:r>
    </w:p>
    <w:p>
      <w:pPr>
        <w:pStyle w:val="24"/>
        <w:numPr>
          <w:ilvl w:val="0"/>
          <w:numId w:val="8"/>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Establish and implement safety plans</w:t>
      </w:r>
    </w:p>
    <w:p>
      <w:pPr>
        <w:pStyle w:val="24"/>
        <w:numPr>
          <w:ilvl w:val="0"/>
          <w:numId w:val="8"/>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Monitor workplace safety</w:t>
      </w:r>
    </w:p>
    <w:p>
      <w:pPr>
        <w:spacing w:before="240" w:after="120" w:line="276" w:lineRule="auto"/>
        <w:ind w:left="567" w:right="0" w:firstLine="0"/>
        <w:jc w:val="center"/>
        <w:rPr>
          <w:b/>
          <w:color w:val="252525" w:themeColor="text1" w:themeTint="D9"/>
          <w:sz w:val="24"/>
        </w:rPr>
      </w:pPr>
      <w:r>
        <w:rPr>
          <w:b/>
          <w:color w:val="252525" w:themeColor="text1" w:themeTint="D9"/>
          <w:sz w:val="24"/>
        </w:rPr>
        <w:t xml:space="preserve">A complete copy of the above unit of competency can be downloaded from the TGA website: </w:t>
      </w:r>
    </w:p>
    <w:p>
      <w:pPr>
        <w:tabs>
          <w:tab w:val="left" w:pos="180"/>
        </w:tabs>
        <w:spacing w:after="120" w:line="276" w:lineRule="auto"/>
        <w:ind w:left="0" w:right="0" w:firstLine="0"/>
        <w:jc w:val="center"/>
        <w:rPr>
          <w:b/>
          <w:bCs/>
          <w:color w:val="2E75B5" w:themeColor="accent5" w:themeShade="BF"/>
          <w:sz w:val="24"/>
        </w:rPr>
      </w:pPr>
      <w:r>
        <w:rPr>
          <w:color w:val="2E75B5" w:themeColor="accent5" w:themeShade="BF"/>
          <w:u w:val="single"/>
        </w:rPr>
        <w:t>https://training.gov.au/Training/Details/CPCCBC4002</w:t>
      </w:r>
    </w:p>
    <w:p>
      <w:pPr>
        <w:spacing w:after="120" w:line="276" w:lineRule="auto"/>
        <w:ind w:left="0" w:right="0" w:firstLine="0"/>
        <w:rPr>
          <w:color w:val="0070C0"/>
          <w:sz w:val="24"/>
          <w:u w:val="single"/>
        </w:rPr>
      </w:pPr>
    </w:p>
    <w:p>
      <w:pPr>
        <w:pStyle w:val="2"/>
        <w:rPr>
          <w:lang w:val="en-AU"/>
        </w:rPr>
      </w:pPr>
      <w:bookmarkStart w:id="36" w:name="_Toc125109236"/>
      <w:r>
        <w:rPr>
          <w:lang w:val="en-AU"/>
        </w:rPr>
        <w:t>The Context of Assessment</w:t>
      </w:r>
      <w:bookmarkEnd w:id="36"/>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52525" w:themeColor="text1" w:themeTint="D9"/>
          <w:sz w:val="24"/>
        </w:rPr>
      </w:pPr>
      <w:r>
        <w:rPr>
          <w:color w:val="252525" w:themeColor="text1" w:themeTint="D9"/>
          <w:sz w:val="24"/>
        </w:rPr>
        <w:br w:type="page"/>
      </w:r>
    </w:p>
    <w:p>
      <w:pPr>
        <w:pStyle w:val="2"/>
        <w:rPr>
          <w:lang w:val="en-AU"/>
        </w:rPr>
      </w:pPr>
      <w:bookmarkStart w:id="37" w:name="_Toc125109237"/>
      <w:r>
        <w:rPr>
          <w:lang w:val="en-AU"/>
        </w:rPr>
        <w:t>Assessment Methods</w:t>
      </w:r>
      <w:bookmarkEnd w:id="37"/>
    </w:p>
    <w:p>
      <w:pPr>
        <w:tabs>
          <w:tab w:val="left" w:pos="180"/>
        </w:tabs>
        <w:spacing w:after="120" w:line="276" w:lineRule="auto"/>
        <w:ind w:left="0" w:right="0" w:firstLine="0"/>
        <w:rPr>
          <w:color w:val="252525" w:themeColor="text1" w:themeTint="D9"/>
          <w:sz w:val="24"/>
        </w:rPr>
      </w:pPr>
      <w:r>
        <w:rPr>
          <w:color w:val="252525" w:themeColor="text1" w:themeTint="D9"/>
          <w:sz w:val="24"/>
        </w:rPr>
        <w:t>This workbook uses the following assessment method</w:t>
      </w:r>
      <w:r>
        <w:rPr>
          <w:rFonts w:cstheme="minorHAnsi"/>
          <w:color w:val="252525" w:themeColor="text1" w:themeTint="D9"/>
          <w:sz w:val="24"/>
          <w:lang w:bidi="en-US"/>
        </w:rPr>
        <w:t>/</w:t>
      </w:r>
      <w:r>
        <w:rPr>
          <w:color w:val="252525" w:themeColor="text1" w:themeTint="D9"/>
          <w:sz w:val="24"/>
        </w:rPr>
        <w:t>s:</w:t>
      </w:r>
    </w:p>
    <w:p>
      <w:pPr>
        <w:pStyle w:val="24"/>
        <w:numPr>
          <w:ilvl w:val="0"/>
          <w:numId w:val="9"/>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Knowledge Assessment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A set of general and workplace questions testing the candidate’s general knowledge and understanding of the general theory behind the unit.</w:t>
      </w:r>
    </w:p>
    <w:p>
      <w:pPr>
        <w:pStyle w:val="24"/>
        <w:numPr>
          <w:ilvl w:val="0"/>
          <w:numId w:val="9"/>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Practical Assignment</w:t>
      </w:r>
    </w:p>
    <w:p>
      <w:pPr>
        <w:pStyle w:val="24"/>
        <w:tabs>
          <w:tab w:val="left" w:pos="180"/>
        </w:tabs>
        <w:spacing w:after="120" w:line="276" w:lineRule="auto"/>
        <w:ind w:right="0" w:firstLine="0"/>
        <w:contextualSpacing w:val="0"/>
        <w:jc w:val="both"/>
        <w:rPr>
          <w:color w:val="252525" w:themeColor="text1" w:themeTint="D9"/>
          <w:sz w:val="24"/>
        </w:rPr>
      </w:pPr>
      <w:bookmarkStart w:id="38" w:name="_Hlk31694670"/>
      <w:r>
        <w:rPr>
          <w:color w:val="252525" w:themeColor="text1" w:themeTint="D9"/>
          <w:sz w:val="24"/>
        </w:rPr>
        <w:t xml:space="preserve">A series of written practical tests assessing the candidate’s practical knowledge and understanding of the unit of competency. </w:t>
      </w:r>
    </w:p>
    <w:bookmarkEnd w:id="38"/>
    <w:p>
      <w:pPr>
        <w:pStyle w:val="24"/>
        <w:numPr>
          <w:ilvl w:val="0"/>
          <w:numId w:val="9"/>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Workplace Assessment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right="0" w:firstLine="0"/>
        <w:jc w:val="center"/>
        <w:rPr>
          <w:color w:val="252525" w:themeColor="text1" w:themeTint="D9"/>
          <w:sz w:val="20"/>
        </w:rPr>
      </w:pPr>
      <w:r>
        <w:rPr>
          <w:color w:val="252525" w:themeColor="text1" w:themeTint="D9"/>
          <w:sz w:val="20"/>
        </w:rPr>
        <w:br w:type="page"/>
      </w:r>
    </w:p>
    <w:p>
      <w:pPr>
        <w:pStyle w:val="2"/>
        <w:rPr>
          <w:lang w:val="en-AU"/>
        </w:rPr>
      </w:pPr>
      <w:bookmarkStart w:id="39" w:name="_Toc125109238"/>
      <w:r>
        <w:rPr>
          <w:lang w:val="en-AU"/>
        </w:rPr>
        <w:t>Resources Required for Assessment</w:t>
      </w:r>
      <w:bookmarkEnd w:id="39"/>
    </w:p>
    <w:p>
      <w:pPr>
        <w:tabs>
          <w:tab w:val="left" w:pos="180"/>
        </w:tabs>
        <w:spacing w:after="120" w:line="276" w:lineRule="auto"/>
        <w:ind w:left="0" w:right="0" w:firstLine="0"/>
        <w:rPr>
          <w:b/>
          <w:color w:val="252525" w:themeColor="text1" w:themeTint="D9"/>
          <w:sz w:val="24"/>
        </w:rPr>
      </w:pPr>
      <w:r>
        <w:rPr>
          <w:b/>
          <w:color w:val="252525" w:themeColor="text1" w:themeTint="D9"/>
          <w:sz w:val="24"/>
        </w:rPr>
        <w:t>The Training Organisation to provide/organise candidate with access to:</w:t>
      </w:r>
    </w:p>
    <w:p>
      <w:pPr>
        <w:pStyle w:val="24"/>
        <w:numPr>
          <w:ilvl w:val="0"/>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Workplace, or a similar environment, where the candidate can complete the assessments, and that will allow them access to:</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Building and construction project</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Organisational policies, procedures, processes, and practices such as: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safety reporting</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safety inspections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safety auditing</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incident investigations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Procedures relevant to emergency response</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Procedures relevant to first aid</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Procedures relevant to evacuations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Practices relevant to waste management</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Environmental practices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conducting hazard identifications and site risk assessments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internal and external consultation</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workplace inspections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workplace safety</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implementing workplace safety processes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establishing educational programs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resolving workplace conflicts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risk control measures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auditing workplace safety</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Policies and procedures relevant to addressing WHS non-compliance</w:t>
      </w:r>
    </w:p>
    <w:p>
      <w:pPr>
        <w:spacing w:after="120" w:line="276" w:lineRule="auto"/>
        <w:rPr>
          <w:color w:val="252525" w:themeColor="text1" w:themeTint="D9"/>
          <w:sz w:val="24"/>
          <w:szCs w:val="24"/>
        </w:rPr>
      </w:pPr>
      <w:r>
        <w:rPr>
          <w:color w:val="252525" w:themeColor="text1" w:themeTint="D9"/>
          <w:sz w:val="24"/>
          <w:szCs w:val="24"/>
        </w:rPr>
        <w:br w:type="page"/>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 xml:space="preserve">Documentation templates, </w:t>
      </w:r>
      <w:bookmarkStart w:id="40" w:name="_Hlk124771052"/>
      <w:r>
        <w:rPr>
          <w:color w:val="252525" w:themeColor="text1" w:themeTint="D9"/>
          <w:sz w:val="24"/>
          <w:szCs w:val="24"/>
        </w:rPr>
        <w:t>such as</w:t>
      </w:r>
      <w:bookmarkEnd w:id="40"/>
      <w:r>
        <w:rPr>
          <w:color w:val="252525" w:themeColor="text1" w:themeTint="D9"/>
          <w:sz w:val="24"/>
          <w:szCs w:val="24"/>
        </w:rPr>
        <w:t>:</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Hazard identification form</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Risk register</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Workplace inspection reports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Workplace safety plans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Site WHS audit report</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Workplace resources, such as: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Rooms for walkthrough sessions, educational programs, and conflict resolution meetings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Feedback forms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Records of control measures implemented on previous similar projects completed by the organisation</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Incident reports from the current project and previous similar projects completed by the organisation</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Documentation relevant to control measures implemented</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Records of previous consultations conducted</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Records of work health and safety training conducted on the project</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Staff handbook</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Human resources management plan</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Hazard identification forms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Risk registers</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Project documents, such as: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Scope of work</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Work breakdown structure</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Material safety data sheets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Manufacturer’s instructions for plant and equipment</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Incident reports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Records of previous consultations with workers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Site layout</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Plant and equipment inventory</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Material safety data sheets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Hazardous products inventory</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Documentation relevant to processes followed</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List of educational programs implemented</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List of topics covered by educational programs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Attendance records for educational programs</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WHS legislation and regulations relevant to the building and construction project</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Safety codes, standards and guidelines</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Business equipment to collect and record data, and produce reports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Project management software</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Intranet systems</w:t>
      </w:r>
    </w:p>
    <w:p>
      <w:pPr>
        <w:pStyle w:val="24"/>
        <w:numPr>
          <w:ilvl w:val="1"/>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Digital devices, applications and software to research, transmit and receive information electronically, such as: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Mobile phones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Laptops or computers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Word processing programs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Web browsers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Email programs</w:t>
      </w:r>
    </w:p>
    <w:p>
      <w:pPr>
        <w:pStyle w:val="24"/>
        <w:numPr>
          <w:ilvl w:val="2"/>
          <w:numId w:val="10"/>
        </w:numPr>
        <w:tabs>
          <w:tab w:val="left" w:pos="180"/>
        </w:tabs>
        <w:spacing w:after="120" w:line="276" w:lineRule="auto"/>
        <w:ind w:right="0"/>
        <w:contextualSpacing w:val="0"/>
        <w:jc w:val="both"/>
        <w:rPr>
          <w:color w:val="252525" w:themeColor="text1" w:themeTint="D9"/>
          <w:sz w:val="24"/>
          <w:szCs w:val="24"/>
        </w:rPr>
      </w:pPr>
      <w:r>
        <w:rPr>
          <w:color w:val="252525" w:themeColor="text1" w:themeTint="D9"/>
          <w:sz w:val="24"/>
          <w:szCs w:val="24"/>
        </w:rPr>
        <w:t>Chatting or messaging apps</w:t>
      </w:r>
    </w:p>
    <w:p>
      <w:pPr>
        <w:tabs>
          <w:tab w:val="left" w:pos="180"/>
        </w:tabs>
        <w:spacing w:after="120" w:line="276" w:lineRule="auto"/>
        <w:ind w:left="0" w:right="0" w:firstLine="0"/>
        <w:rPr>
          <w:color w:val="252525" w:themeColor="text1" w:themeTint="D9"/>
          <w:sz w:val="24"/>
        </w:rPr>
      </w:pPr>
    </w:p>
    <w:p>
      <w:pPr>
        <w:tabs>
          <w:tab w:val="left" w:pos="180"/>
        </w:tabs>
        <w:spacing w:after="120" w:line="276" w:lineRule="auto"/>
        <w:ind w:left="0" w:right="0" w:firstLine="0"/>
        <w:rPr>
          <w:b/>
          <w:color w:val="252525" w:themeColor="text1" w:themeTint="D9"/>
          <w:sz w:val="24"/>
        </w:rPr>
      </w:pPr>
      <w:r>
        <w:rPr>
          <w:b/>
          <w:color w:val="252525" w:themeColor="text1" w:themeTint="D9"/>
          <w:sz w:val="24"/>
        </w:rPr>
        <w:t>The candidate will need access to:</w:t>
      </w:r>
    </w:p>
    <w:p>
      <w:pPr>
        <w:pStyle w:val="24"/>
        <w:numPr>
          <w:ilvl w:val="0"/>
          <w:numId w:val="10"/>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Computer with Internet, email access, and a working web browser</w:t>
      </w:r>
    </w:p>
    <w:p>
      <w:pPr>
        <w:pStyle w:val="24"/>
        <w:numPr>
          <w:ilvl w:val="0"/>
          <w:numId w:val="10"/>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Installed software: MS Word, Adobe Acrobat Reader</w:t>
      </w:r>
      <w:r>
        <w:rPr>
          <w:color w:val="252525" w:themeColor="text1" w:themeTint="D9"/>
          <w:sz w:val="24"/>
          <w:highlight w:val="yellow"/>
        </w:rPr>
        <w:br w:type="page"/>
      </w:r>
    </w:p>
    <w:p>
      <w:pPr>
        <w:pStyle w:val="2"/>
        <w:rPr>
          <w:lang w:val="en-AU"/>
        </w:rPr>
      </w:pPr>
      <w:bookmarkStart w:id="41" w:name="_Toc125109239"/>
      <w:r>
        <w:rPr>
          <w:lang w:val="en-AU"/>
        </w:rPr>
        <w:t>Assessment Workbook Cover Sheet</w:t>
      </w:r>
      <w:bookmarkEnd w:id="41"/>
    </w:p>
    <w:p>
      <w:pPr>
        <w:tabs>
          <w:tab w:val="left" w:pos="180"/>
        </w:tabs>
        <w:spacing w:after="120" w:line="276" w:lineRule="auto"/>
        <w:ind w:left="0" w:right="0" w:firstLine="0"/>
        <w:jc w:val="both"/>
        <w:rPr>
          <w:color w:val="252525" w:themeColor="text1" w:themeTint="D9"/>
          <w:sz w:val="24"/>
        </w:rPr>
      </w:pPr>
      <w:r>
        <w:rPr>
          <w:b/>
          <w:color w:val="252525" w:themeColor="text1" w:themeTint="D9"/>
          <w:sz w:val="24"/>
        </w:rPr>
        <w:t>To the candidate:</w:t>
      </w:r>
      <w:r>
        <w:rPr>
          <w:color w:val="252525" w:themeColor="text1" w:themeTint="D9"/>
          <w:sz w:val="24"/>
        </w:rPr>
        <w:t xml:space="preserve"> Print this cover sheet and complete it by filling in all the required information and signing </w:t>
      </w:r>
      <w:r>
        <w:rPr>
          <w:rFonts w:cstheme="minorHAnsi"/>
          <w:color w:val="252525" w:themeColor="text1" w:themeTint="D9"/>
          <w:sz w:val="24"/>
          <w:lang w:bidi="en-US"/>
        </w:rPr>
        <w:t xml:space="preserve">in </w:t>
      </w:r>
      <w:r>
        <w:rPr>
          <w:color w:val="252525" w:themeColor="text1" w:themeTint="D9"/>
          <w:sz w:val="24"/>
        </w:rPr>
        <w:t xml:space="preserve">the space provided. Your signature must be handwritten. Scan the completed cover sheet and submit it along with your evidence submissions. Use the filename: </w:t>
      </w:r>
      <w:r>
        <w:rPr>
          <w:b/>
          <w:color w:val="252525" w:themeColor="text1" w:themeTint="D9"/>
          <w:sz w:val="24"/>
        </w:rPr>
        <w:t>CBCCBC4002 Cover Sheet</w:t>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t>Workbook</w:t>
            </w:r>
          </w:p>
        </w:tc>
        <w:tc>
          <w:tcPr>
            <w:tcW w:w="3333" w:type="pct"/>
            <w:shd w:val="clear" w:color="auto" w:fill="auto"/>
          </w:tcPr>
          <w:p>
            <w:pPr>
              <w:tabs>
                <w:tab w:val="left" w:pos="180"/>
              </w:tabs>
              <w:spacing w:after="120"/>
              <w:ind w:left="0" w:right="0" w:firstLine="0"/>
              <w:rPr>
                <w:rFonts w:cstheme="minorHAnsi"/>
                <w:color w:val="252525" w:themeColor="text1" w:themeTint="D9"/>
                <w:sz w:val="24"/>
                <w:szCs w:val="24"/>
                <w:highlight w:val="yellow"/>
              </w:rPr>
            </w:pPr>
            <w:r>
              <w:rPr>
                <w:rFonts w:cstheme="minorHAnsi"/>
                <w:color w:val="252525" w:themeColor="text1" w:themeTint="D9"/>
                <w:sz w:val="24"/>
                <w:szCs w:val="24"/>
              </w:rPr>
              <w:t>CBCCBC4002</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t>Title</w:t>
            </w:r>
          </w:p>
        </w:tc>
        <w:tc>
          <w:tcPr>
            <w:tcW w:w="3333" w:type="pct"/>
            <w:shd w:val="clear" w:color="auto" w:fill="auto"/>
          </w:tcPr>
          <w:p>
            <w:pPr>
              <w:tabs>
                <w:tab w:val="left" w:pos="180"/>
              </w:tabs>
              <w:spacing w:after="120"/>
              <w:ind w:left="0" w:right="0" w:firstLine="0"/>
              <w:jc w:val="both"/>
              <w:rPr>
                <w:rFonts w:cstheme="minorHAnsi"/>
                <w:bCs/>
                <w:color w:val="252525" w:themeColor="text1" w:themeTint="D9"/>
                <w:sz w:val="24"/>
                <w:szCs w:val="24"/>
                <w:highlight w:val="yellow"/>
              </w:rPr>
            </w:pPr>
            <w:r>
              <w:rPr>
                <w:color w:val="252525" w:themeColor="text1" w:themeTint="D9"/>
                <w:sz w:val="24"/>
              </w:rPr>
              <w:t>Manage work health and safety in the building and construction workplace (Release 2)</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t xml:space="preserve">First and Last Name </w:t>
            </w:r>
          </w:p>
        </w:tc>
        <w:tc>
          <w:tcPr>
            <w:tcW w:w="3333" w:type="pct"/>
            <w:shd w:val="clear" w:color="auto" w:fill="auto"/>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bookmarkStart w:id="42" w:name="Text1"/>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Dawei Yang</w:t>
            </w:r>
            <w:r>
              <w:rPr>
                <w:rFonts w:cstheme="minorHAnsi"/>
                <w:color w:val="252525" w:themeColor="text1" w:themeTint="D9"/>
                <w:sz w:val="24"/>
                <w:szCs w:val="24"/>
              </w:rPr>
              <w:t>   </w:t>
            </w:r>
            <w:r>
              <w:rPr>
                <w:rFonts w:cstheme="minorHAnsi"/>
                <w:color w:val="252525" w:themeColor="text1" w:themeTint="D9"/>
                <w:sz w:val="24"/>
                <w:szCs w:val="24"/>
              </w:rPr>
              <w:fldChar w:fldCharType="end"/>
            </w:r>
            <w:bookmarkEnd w:id="42"/>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t>Phone</w:t>
            </w:r>
          </w:p>
        </w:tc>
        <w:tc>
          <w:tcPr>
            <w:tcW w:w="3333" w:type="pct"/>
            <w:shd w:val="clear" w:color="auto" w:fill="auto"/>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0433036069</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t>Email</w:t>
            </w:r>
          </w:p>
        </w:tc>
        <w:tc>
          <w:tcPr>
            <w:tcW w:w="3333" w:type="pct"/>
            <w:shd w:val="clear" w:color="auto" w:fill="auto"/>
          </w:tcPr>
          <w:p>
            <w:pPr>
              <w:tabs>
                <w:tab w:val="left" w:pos="180"/>
              </w:tabs>
              <w:spacing w:after="120"/>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davied928@gmail.com</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tabs>
          <w:tab w:val="left" w:pos="180"/>
        </w:tabs>
        <w:spacing w:before="0" w:line="276" w:lineRule="auto"/>
        <w:ind w:left="0" w:firstLine="0"/>
        <w:rPr>
          <w:color w:val="252525" w:themeColor="text1" w:themeTint="D9"/>
          <w:sz w:val="20"/>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52525" w:themeColor="text1" w:themeTint="D9"/>
                <w:sz w:val="26"/>
              </w:rPr>
            </w:pPr>
            <w:r>
              <w:rPr>
                <w:b/>
                <w:color w:val="252525" w:themeColor="text1" w:themeTint="D9"/>
                <w:sz w:val="26"/>
              </w:rPr>
              <w:t xml:space="preserve">Please read the Candidate Declaration below and if you agree to the terms of the declaration, sign and </w:t>
            </w:r>
            <w:r>
              <w:rPr>
                <w:rFonts w:cstheme="minorHAnsi"/>
                <w:b/>
                <w:color w:val="252525" w:themeColor="text1" w:themeTint="D9"/>
                <w:sz w:val="26"/>
                <w:szCs w:val="26"/>
              </w:rPr>
              <w:t xml:space="preserve">indicate the </w:t>
            </w:r>
            <w:r>
              <w:rPr>
                <w:b/>
                <w:color w:val="252525" w:themeColor="text1" w:themeTint="D9"/>
                <w:sz w:val="26"/>
              </w:rPr>
              <w:t>date in the spaces provided.</w:t>
            </w:r>
          </w:p>
          <w:p>
            <w:pPr>
              <w:tabs>
                <w:tab w:val="left" w:pos="180"/>
              </w:tabs>
              <w:spacing w:after="120" w:line="276" w:lineRule="auto"/>
              <w:ind w:left="0" w:right="0" w:firstLine="0"/>
              <w:jc w:val="both"/>
              <w:rPr>
                <w:rFonts w:cstheme="minorHAnsi"/>
                <w:b/>
                <w:color w:val="252525" w:themeColor="text1" w:themeTint="D9"/>
                <w:sz w:val="24"/>
                <w:szCs w:val="24"/>
              </w:rPr>
            </w:pPr>
            <w:r>
              <w:rPr>
                <w:rFonts w:cstheme="minorHAnsi"/>
                <w:b/>
                <w:color w:val="252525" w:themeColor="text1" w:themeTint="D9"/>
                <w:sz w:val="24"/>
                <w:szCs w:val="24"/>
              </w:rPr>
              <w:t xml:space="preserve">By submitting this work, I declare that: </w:t>
            </w:r>
          </w:p>
          <w:p>
            <w:pPr>
              <w:pStyle w:val="24"/>
              <w:numPr>
                <w:ilvl w:val="0"/>
                <w:numId w:val="11"/>
              </w:numPr>
              <w:tabs>
                <w:tab w:val="left" w:pos="180"/>
              </w:tabs>
              <w:spacing w:after="120" w:line="276" w:lineRule="auto"/>
              <w:ind w:left="714" w:right="0" w:hanging="357"/>
              <w:contextualSpacing w:val="0"/>
              <w:jc w:val="both"/>
              <w:rPr>
                <w:rFonts w:cstheme="minorHAnsi"/>
                <w:color w:val="252525" w:themeColor="text1" w:themeTint="D9"/>
                <w:sz w:val="23"/>
                <w:szCs w:val="23"/>
              </w:rPr>
            </w:pPr>
            <w:r>
              <w:rPr>
                <w:rFonts w:cstheme="minorHAnsi"/>
                <w:color w:val="252525" w:themeColor="text1" w:themeTint="D9"/>
                <w:sz w:val="23"/>
                <w:szCs w:val="23"/>
              </w:rPr>
              <w:t>I have been advised of the assessment requirements, have been made aware of my rights and responsibilities as an assessment candidate, and choose to be assessed at this time.</w:t>
            </w:r>
          </w:p>
          <w:p>
            <w:pPr>
              <w:pStyle w:val="24"/>
              <w:numPr>
                <w:ilvl w:val="0"/>
                <w:numId w:val="11"/>
              </w:numPr>
              <w:tabs>
                <w:tab w:val="left" w:pos="180"/>
              </w:tabs>
              <w:spacing w:after="120" w:line="276" w:lineRule="auto"/>
              <w:ind w:left="714" w:right="0" w:hanging="357"/>
              <w:contextualSpacing w:val="0"/>
              <w:jc w:val="both"/>
              <w:rPr>
                <w:rFonts w:cstheme="minorHAnsi"/>
                <w:color w:val="252525" w:themeColor="text1" w:themeTint="D9"/>
                <w:sz w:val="23"/>
                <w:szCs w:val="23"/>
              </w:rPr>
            </w:pPr>
            <w:r>
              <w:rPr>
                <w:rFonts w:cstheme="minorHAnsi"/>
                <w:color w:val="252525" w:themeColor="text1" w:themeTint="D9"/>
                <w:sz w:val="23"/>
                <w:szCs w:val="23"/>
              </w:rPr>
              <w:t>I am aware that there is a limit to the number of submissions that I can make for each assessment, and I am submitting all documents required to complete this Assessment Workbook.</w:t>
            </w:r>
          </w:p>
          <w:p>
            <w:pPr>
              <w:pStyle w:val="24"/>
              <w:numPr>
                <w:ilvl w:val="0"/>
                <w:numId w:val="11"/>
              </w:numPr>
              <w:tabs>
                <w:tab w:val="left" w:pos="180"/>
              </w:tabs>
              <w:spacing w:after="120" w:line="276" w:lineRule="auto"/>
              <w:ind w:left="714" w:right="0" w:hanging="357"/>
              <w:contextualSpacing w:val="0"/>
              <w:jc w:val="both"/>
              <w:rPr>
                <w:rFonts w:cstheme="minorHAnsi"/>
                <w:color w:val="252525" w:themeColor="text1" w:themeTint="D9"/>
                <w:sz w:val="23"/>
                <w:szCs w:val="23"/>
              </w:rPr>
            </w:pPr>
            <w:r>
              <w:rPr>
                <w:rFonts w:cstheme="minorHAnsi"/>
                <w:color w:val="252525" w:themeColor="text1" w:themeTint="D9"/>
                <w:sz w:val="23"/>
                <w:szCs w:val="23"/>
              </w:rPr>
              <w:t>I have organised and named the files I am submitting according to the instructions provided. I am aware that my assessor will not assess work that cannot be identified and may request the work be resubmitted according to the correct process.</w:t>
            </w:r>
          </w:p>
          <w:p>
            <w:pPr>
              <w:pStyle w:val="24"/>
              <w:numPr>
                <w:ilvl w:val="0"/>
                <w:numId w:val="11"/>
              </w:numPr>
              <w:tabs>
                <w:tab w:val="left" w:pos="180"/>
              </w:tabs>
              <w:spacing w:after="120" w:line="276" w:lineRule="auto"/>
              <w:ind w:left="714" w:right="0" w:hanging="357"/>
              <w:contextualSpacing w:val="0"/>
              <w:jc w:val="both"/>
              <w:rPr>
                <w:rFonts w:cstheme="minorHAnsi"/>
                <w:color w:val="252525" w:themeColor="text1" w:themeTint="D9"/>
                <w:sz w:val="23"/>
                <w:szCs w:val="23"/>
              </w:rPr>
            </w:pPr>
            <w:r>
              <w:rPr>
                <w:rFonts w:cstheme="minorHAnsi"/>
                <w:color w:val="252525"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pPr>
              <w:pStyle w:val="24"/>
              <w:numPr>
                <w:ilvl w:val="0"/>
                <w:numId w:val="11"/>
              </w:numPr>
              <w:tabs>
                <w:tab w:val="left" w:pos="180"/>
              </w:tabs>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52525" w:themeColor="text1" w:themeTint="D9"/>
                <w:sz w:val="28"/>
                <w:szCs w:val="24"/>
              </w:rPr>
            </w:pPr>
            <w:r>
              <w:rPr>
                <w:rFonts w:cstheme="minorHAnsi"/>
                <w:b/>
                <w:bCs/>
                <w:color w:val="252525" w:themeColor="text1" w:themeTint="D9"/>
                <w:sz w:val="24"/>
                <w:szCs w:val="24"/>
              </w:rPr>
              <w:t>Name:</w:t>
            </w:r>
            <w:r>
              <w:rPr>
                <w:rFonts w:cstheme="minorHAnsi"/>
                <w:color w:val="252525" w:themeColor="text1" w:themeTint="D9"/>
                <w:sz w:val="24"/>
                <w:szCs w:val="24"/>
              </w:rPr>
              <w:t xml:space="preserve">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Dawei Yang</w:t>
            </w:r>
            <w:r>
              <w:rPr>
                <w:rFonts w:cstheme="minorHAnsi"/>
                <w:color w:val="252525" w:themeColor="text1" w:themeTint="D9"/>
                <w:sz w:val="24"/>
                <w:szCs w:val="24"/>
              </w:rPr>
              <w:t>    </w:t>
            </w:r>
            <w:r>
              <w:rPr>
                <w:rFonts w:cstheme="minorHAnsi"/>
                <w:color w:val="252525" w:themeColor="text1" w:themeTint="D9"/>
                <w:sz w:val="24"/>
                <w:szCs w:val="24"/>
              </w:rPr>
              <w:fldChar w:fldCharType="end"/>
            </w:r>
          </w:p>
        </w:tc>
        <w:tc>
          <w:tcPr>
            <w:tcW w:w="1666" w:type="pct"/>
            <w:shd w:val="clear" w:color="auto" w:fill="auto"/>
          </w:tcPr>
          <w:p>
            <w:pPr>
              <w:tabs>
                <w:tab w:val="left" w:pos="180"/>
              </w:tabs>
              <w:spacing w:after="120" w:line="276" w:lineRule="auto"/>
              <w:ind w:left="0" w:right="0" w:firstLine="0"/>
              <w:rPr>
                <w:rFonts w:hint="eastAsia" w:eastAsia="宋体" w:cstheme="minorHAnsi"/>
                <w:b/>
                <w:color w:val="252525" w:themeColor="text1" w:themeTint="D9"/>
                <w:sz w:val="28"/>
                <w:szCs w:val="24"/>
                <w:lang w:eastAsia="zh-CN"/>
              </w:rPr>
            </w:pPr>
            <w:r>
              <w:rPr>
                <w:rFonts w:cstheme="minorHAnsi"/>
                <w:b/>
                <w:bCs/>
                <w:color w:val="252525" w:themeColor="text1" w:themeTint="D9"/>
                <w:sz w:val="24"/>
                <w:szCs w:val="24"/>
              </w:rPr>
              <w:t xml:space="preserve">Signature: </w:t>
            </w:r>
            <w:r>
              <w:rPr>
                <w:rFonts w:hint="eastAsia" w:eastAsia="宋体" w:cstheme="minorHAnsi"/>
                <w:b/>
                <w:color w:val="252525" w:themeColor="text1" w:themeTint="D9"/>
                <w:sz w:val="28"/>
                <w:szCs w:val="24"/>
                <w:lang w:eastAsia="zh-CN"/>
              </w:rPr>
              <w:drawing>
                <wp:inline distT="0" distB="0" distL="114300" distR="114300">
                  <wp:extent cx="1209040" cy="224155"/>
                  <wp:effectExtent l="0" t="0" r="0" b="4445"/>
                  <wp:docPr id="1" name="图片 1" descr="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1)"/>
                          <pic:cNvPicPr>
                            <a:picLocks noChangeAspect="1"/>
                          </pic:cNvPicPr>
                        </pic:nvPicPr>
                        <pic:blipFill>
                          <a:blip r:embed="rId10"/>
                          <a:stretch>
                            <a:fillRect/>
                          </a:stretch>
                        </pic:blipFill>
                        <pic:spPr>
                          <a:xfrm>
                            <a:off x="0" y="0"/>
                            <a:ext cx="1209040" cy="224155"/>
                          </a:xfrm>
                          <a:prstGeom prst="rect">
                            <a:avLst/>
                          </a:prstGeom>
                        </pic:spPr>
                      </pic:pic>
                    </a:graphicData>
                  </a:graphic>
                </wp:inline>
              </w:drawing>
            </w:r>
          </w:p>
        </w:tc>
        <w:tc>
          <w:tcPr>
            <w:tcW w:w="1668" w:type="pct"/>
            <w:shd w:val="clear" w:color="auto" w:fill="auto"/>
          </w:tcPr>
          <w:p>
            <w:pPr>
              <w:tabs>
                <w:tab w:val="left" w:pos="180"/>
              </w:tabs>
              <w:spacing w:after="120" w:line="276" w:lineRule="auto"/>
              <w:ind w:left="0" w:right="0" w:firstLine="0"/>
              <w:rPr>
                <w:rFonts w:cstheme="minorHAnsi"/>
                <w:b/>
                <w:color w:val="252525" w:themeColor="text1" w:themeTint="D9"/>
                <w:sz w:val="28"/>
                <w:szCs w:val="24"/>
              </w:rPr>
            </w:pPr>
            <w:r>
              <w:rPr>
                <w:rFonts w:cstheme="minorHAnsi"/>
                <w:b/>
                <w:bCs/>
                <w:color w:val="252525" w:themeColor="text1" w:themeTint="D9"/>
                <w:sz w:val="24"/>
                <w:szCs w:val="24"/>
              </w:rPr>
              <w:t>Date signed:</w:t>
            </w:r>
            <w:r>
              <w:rPr>
                <w:rFonts w:cstheme="minorHAnsi"/>
                <w:color w:val="252525" w:themeColor="text1" w:themeTint="D9"/>
                <w:sz w:val="24"/>
                <w:szCs w:val="24"/>
              </w:rPr>
              <w:t xml:space="preserve">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05/05/23</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pStyle w:val="2"/>
        <w:rPr>
          <w:lang w:val="en-AU"/>
        </w:rPr>
      </w:pPr>
      <w:bookmarkStart w:id="43" w:name="_Toc125109240"/>
      <w:r>
        <w:rPr>
          <w:lang w:val="en-AU"/>
        </w:rPr>
        <w:t>Knowledge Assessment</w:t>
      </w:r>
      <w:bookmarkEnd w:id="43"/>
    </w:p>
    <w:tbl>
      <w:tblPr>
        <w:tblStyle w:val="62"/>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1013"/>
        <w:gridCol w:w="3606"/>
        <w:gridCol w:w="1002"/>
        <w:gridCol w:w="3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4"/>
            <w:tcBorders>
              <w:top w:val="nil"/>
              <w:left w:val="nil"/>
              <w:bottom w:val="nil"/>
              <w:right w:val="nil"/>
            </w:tcBorders>
            <w:shd w:val="clear" w:color="auto" w:fill="D9E2F3" w:themeFill="accent1" w:themeFillTint="33"/>
          </w:tcPr>
          <w:p>
            <w:pPr>
              <w:tabs>
                <w:tab w:val="left" w:pos="180"/>
              </w:tabs>
              <w:spacing w:after="120" w:line="276" w:lineRule="auto"/>
              <w:ind w:left="73" w:right="86" w:firstLine="0"/>
              <w:jc w:val="center"/>
              <w:rPr>
                <w:rFonts w:ascii="Calibri" w:hAnsi="Calibri" w:eastAsia="Calibri" w:cs="Calibri"/>
                <w:b/>
                <w:bCs/>
                <w:color w:val="252525" w:themeColor="text1" w:themeTint="D9"/>
                <w:sz w:val="24"/>
                <w:szCs w:val="24"/>
              </w:rPr>
            </w:pPr>
            <w:r>
              <w:rPr>
                <w:rFonts w:ascii="Calibri" w:hAnsi="Calibri" w:eastAsia="Calibri" w:cs="Calibri"/>
                <w:b/>
                <w:bCs/>
                <w:color w:val="252525" w:themeColor="text1" w:themeTint="D9"/>
                <w:sz w:val="24"/>
                <w:szCs w:val="24"/>
              </w:rPr>
              <w:t xml:space="preserve">Preliminary Task </w:t>
            </w:r>
          </w:p>
          <w:p>
            <w:pPr>
              <w:tabs>
                <w:tab w:val="left" w:pos="180"/>
              </w:tabs>
              <w:spacing w:after="120" w:line="276" w:lineRule="auto"/>
              <w:ind w:left="73" w:right="86" w:firstLine="0"/>
              <w:jc w:val="both"/>
              <w:rPr>
                <w:rFonts w:ascii="Calibri" w:hAnsi="Calibri" w:eastAsia="Calibri" w:cs="Calibri"/>
                <w:color w:val="252525" w:themeColor="text1" w:themeTint="D9"/>
                <w:sz w:val="24"/>
              </w:rPr>
            </w:pPr>
            <w:r>
              <w:rPr>
                <w:rFonts w:ascii="Calibri" w:hAnsi="Calibri" w:eastAsia="Calibri" w:cs="Calibri"/>
                <w:color w:val="252525" w:themeColor="text1" w:themeTint="D9"/>
                <w:sz w:val="24"/>
              </w:rPr>
              <w:t>Questions 1, 2, 3, and 5 of this Knowledge Assessment require you to refer to various legal requirements and references applicable in your state/territory.</w:t>
            </w:r>
          </w:p>
          <w:p>
            <w:pPr>
              <w:tabs>
                <w:tab w:val="left" w:pos="180"/>
              </w:tabs>
              <w:spacing w:after="120" w:line="276" w:lineRule="auto"/>
              <w:ind w:left="73" w:right="86" w:firstLine="0"/>
              <w:jc w:val="both"/>
              <w:rPr>
                <w:rFonts w:ascii="Calibri" w:hAnsi="Calibri" w:eastAsia="Calibri" w:cs="Calibri"/>
                <w:color w:val="252525" w:themeColor="text1" w:themeTint="D9"/>
                <w:sz w:val="24"/>
                <w:szCs w:val="24"/>
              </w:rPr>
            </w:pPr>
            <w:r>
              <w:rPr>
                <w:rFonts w:ascii="Calibri" w:hAnsi="Calibri" w:eastAsia="Calibri" w:cs="Calibri"/>
                <w:color w:val="252525" w:themeColor="text1" w:themeTint="D9"/>
                <w:sz w:val="24"/>
                <w:szCs w:val="24"/>
              </w:rPr>
              <w:t>For your assessor’s reference, indicate below which state/territory you are currently based or located in by ticking the box that corresponds to your answer.</w:t>
            </w:r>
          </w:p>
          <w:p>
            <w:pPr>
              <w:tabs>
                <w:tab w:val="left" w:pos="180"/>
              </w:tabs>
              <w:spacing w:after="120" w:line="276" w:lineRule="auto"/>
              <w:ind w:left="73" w:right="86" w:firstLine="0"/>
              <w:jc w:val="both"/>
              <w:rPr>
                <w:rFonts w:ascii="Calibri" w:hAnsi="Calibri" w:eastAsia="Calibri" w:cs="Calibri"/>
                <w:color w:val="252525" w:themeColor="text1" w:themeTint="D9"/>
                <w:sz w:val="24"/>
                <w:szCs w:val="24"/>
              </w:rPr>
            </w:pPr>
            <w:r>
              <w:rPr>
                <w:rFonts w:ascii="Calibri" w:hAnsi="Calibri" w:eastAsia="Calibri" w:cs="Calibri"/>
                <w:color w:val="252525" w:themeColor="text1" w:themeTint="D9"/>
                <w:sz w:val="24"/>
                <w:szCs w:val="24"/>
              </w:rPr>
              <w:t>When answering Questions 1, 2, 3, and 5, you must refer to the various legal requirements and references applicable in the state/territory you ticked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ascii="Calibri" w:hAnsi="Calibri" w:eastAsia="Calibri"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Arial"/>
                <w:color w:val="252525" w:themeColor="text1" w:themeTint="D9"/>
                <w:sz w:val="24"/>
              </w:rPr>
            </w:pPr>
            <w:r>
              <w:rPr>
                <w:rFonts w:ascii="Calibri" w:hAnsi="Calibri" w:eastAsia="Calibri" w:cs="Arial"/>
                <w:color w:val="252525" w:themeColor="text1" w:themeTint="D9"/>
                <w:sz w:val="24"/>
              </w:rPr>
              <w:t>The state/territory where you are currently based or located in: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Australian Capital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South Australia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D73329"/>
                <w:sz w:val="20"/>
                <w:szCs w:val="24"/>
                <w:highlight w:val="yellow"/>
              </w:rPr>
            </w:pPr>
            <w:r>
              <w:rPr>
                <w:rFonts w:ascii="Wingdings" w:hAnsi="Wingdings" w:eastAsia="Wingdings" w:cs="Calibri"/>
                <w:iCs/>
                <w:color w:val="252525" w:themeColor="text1" w:themeTint="D9"/>
                <w:sz w:val="20"/>
                <w:szCs w:val="24"/>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 xml:space="preserve">New South Wales </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Tasmania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Northern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Victoria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sym w:font="Wingdings" w:char="00FE"/>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Queensland</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52525" w:themeColor="text1" w:themeTint="D9"/>
                <w:sz w:val="20"/>
                <w:szCs w:val="24"/>
              </w:rPr>
            </w:pPr>
            <w:r>
              <w:rPr>
                <w:rFonts w:ascii="Wingdings" w:hAnsi="Wingdings" w:eastAsia="Wingdings" w:cs="Calibri"/>
                <w:iCs/>
                <w:color w:val="252525" w:themeColor="text1" w:themeTint="D9"/>
                <w:sz w:val="20"/>
                <w:szCs w:val="24"/>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52525" w:themeColor="text1" w:themeTint="D9"/>
                <w:sz w:val="20"/>
                <w:szCs w:val="24"/>
              </w:rPr>
            </w:pPr>
            <w:r>
              <w:rPr>
                <w:rFonts w:ascii="Calibri" w:hAnsi="Calibri" w:eastAsia="Calibri" w:cs="Arial"/>
                <w:color w:val="252525" w:themeColor="text1" w:themeTint="D9"/>
                <w:sz w:val="24"/>
              </w:rPr>
              <w:t>Western Australia</w:t>
            </w:r>
          </w:p>
        </w:tc>
      </w:tr>
    </w:tbl>
    <w:p>
      <w:pPr>
        <w:spacing w:after="120" w:line="276" w:lineRule="auto"/>
        <w:ind w:left="0" w:firstLine="0"/>
        <w:rPr>
          <w:lang w:bidi="en-US"/>
        </w:rPr>
      </w:pPr>
      <w:r>
        <w:rPr>
          <w:lang w:bidi="en-US"/>
        </w:rP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that relate to current WHS Acts that affect the 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3"/>
              </w:numPr>
              <w:tabs>
                <w:tab w:val="left" w:pos="180"/>
              </w:tabs>
              <w:spacing w:after="120" w:line="276" w:lineRule="auto"/>
              <w:ind w:left="794" w:right="0" w:hanging="357"/>
              <w:contextualSpacing w:val="0"/>
              <w:rPr>
                <w:rStyle w:val="60"/>
                <w:rFonts w:cstheme="minorHAnsi"/>
                <w:color w:val="252525" w:themeColor="text1" w:themeTint="D9"/>
                <w:sz w:val="24"/>
                <w:szCs w:val="24"/>
              </w:rPr>
            </w:pPr>
            <w:bookmarkStart w:id="44" w:name="_Hlk58428253"/>
            <w:r>
              <w:rPr>
                <w:rStyle w:val="59"/>
                <w:rFonts w:ascii="Calibri" w:hAnsi="Calibri" w:cs="Calibri"/>
                <w:color w:val="252525" w:themeColor="text1" w:themeTint="D9"/>
                <w:sz w:val="24"/>
                <w:shd w:val="clear" w:color="auto" w:fill="FFFFFF"/>
              </w:rPr>
              <w:t>What is the exact title of the WHS act applicable in your state/territory?</w:t>
            </w:r>
            <w:r>
              <w:rPr>
                <w:rStyle w:val="60"/>
                <w:rFonts w:ascii="Calibri" w:hAnsi="Calibri" w:cs="Calibri"/>
                <w:color w:val="252525" w:themeColor="text1" w:themeTint="D9"/>
                <w:sz w:val="24"/>
                <w:shd w:val="clear" w:color="auto" w:fill="FFFFFF"/>
              </w:rPr>
              <w:t> </w:t>
            </w:r>
          </w:p>
          <w:p>
            <w:pPr>
              <w:pStyle w:val="24"/>
              <w:tabs>
                <w:tab w:val="left" w:pos="180"/>
              </w:tabs>
              <w:spacing w:after="120" w:line="276" w:lineRule="auto"/>
              <w:ind w:left="794" w:right="0" w:firstLine="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Workplace Health and Safety</w:t>
            </w:r>
            <w:r>
              <w:rPr>
                <w:color w:val="0C0C0C" w:themeColor="text1" w:themeTint="F2"/>
                <w:sz w:val="24"/>
              </w:rPr>
              <w:t>   </w:t>
            </w:r>
            <w:r>
              <w:rPr>
                <w:rFonts w:cstheme="minorHAnsi"/>
                <w:color w:val="252525" w:themeColor="text1" w:themeTint="D9"/>
                <w:sz w:val="24"/>
                <w:szCs w:val="24"/>
              </w:rPr>
              <w:fldChar w:fldCharType="end"/>
            </w:r>
          </w:p>
        </w:tc>
      </w:tr>
      <w:bookmarkEnd w:id="44"/>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3"/>
              </w:numPr>
              <w:tabs>
                <w:tab w:val="left" w:pos="180"/>
              </w:tabs>
              <w:spacing w:after="120" w:line="276" w:lineRule="auto"/>
              <w:ind w:left="794" w:right="0" w:hanging="357"/>
              <w:contextualSpacing w:val="0"/>
              <w:jc w:val="both"/>
              <w:rPr>
                <w:rFonts w:ascii="Calibri" w:hAnsi="Calibri" w:eastAsia="Times New Roman" w:cs="Calibri"/>
                <w:color w:val="252525" w:themeColor="text1" w:themeTint="D9"/>
                <w:sz w:val="24"/>
                <w:szCs w:val="24"/>
                <w:lang w:eastAsia="en-AU"/>
              </w:rPr>
            </w:pPr>
            <w:bookmarkStart w:id="45" w:name="_Hlk58076563"/>
            <w:r>
              <w:rPr>
                <w:rStyle w:val="59"/>
                <w:color w:val="252525" w:themeColor="text1" w:themeTint="D9"/>
                <w:sz w:val="24"/>
                <w:szCs w:val="24"/>
                <w:shd w:val="clear" w:color="auto" w:fill="FFFFFF"/>
              </w:rPr>
              <w:t>According</w:t>
            </w:r>
            <w:r>
              <w:rPr>
                <w:rFonts w:ascii="Calibri" w:hAnsi="Calibri" w:eastAsia="Times New Roman" w:cs="Calibri"/>
                <w:color w:val="252525" w:themeColor="text1" w:themeTint="D9"/>
                <w:sz w:val="24"/>
                <w:szCs w:val="24"/>
                <w:lang w:eastAsia="en-AU"/>
              </w:rPr>
              <w:t xml:space="preserve"> to the WHS act applicable in your state/territory, what is the duty of care of a person conducting a business or undertaking (PCBU)?  </w:t>
            </w:r>
          </w:p>
          <w:p>
            <w:pPr>
              <w:pStyle w:val="24"/>
              <w:tabs>
                <w:tab w:val="left" w:pos="180"/>
              </w:tabs>
              <w:spacing w:after="120" w:line="276" w:lineRule="auto"/>
              <w:ind w:left="794" w:right="0" w:firstLine="0"/>
              <w:contextualSpacing w:val="0"/>
              <w:jc w:val="both"/>
              <w:rPr>
                <w:rFonts w:ascii="Calibri" w:hAnsi="Calibri" w:eastAsia="Times New Roman" w:cs="Calibri"/>
                <w:color w:val="252525" w:themeColor="text1" w:themeTint="D9"/>
                <w:sz w:val="24"/>
                <w:szCs w:val="24"/>
                <w:lang w:eastAsia="en-AU"/>
              </w:rPr>
            </w:pPr>
            <w:r>
              <w:rPr>
                <w:rFonts w:ascii="Calibri" w:hAnsi="Calibri" w:eastAsia="Times New Roman" w:cs="Calibri"/>
                <w:color w:val="252525" w:themeColor="text1" w:themeTint="D9"/>
                <w:sz w:val="24"/>
                <w:szCs w:val="24"/>
                <w:lang w:eastAsia="en-AU"/>
              </w:rPr>
              <w:t>Not all WHS acts use the same terminology. If your state/territory’s WHS act uses different terms (not “duty of care” or “PCBU”), base your answer on similar provisions in the act. </w:t>
            </w:r>
          </w:p>
          <w:p>
            <w:pPr>
              <w:pStyle w:val="24"/>
              <w:tabs>
                <w:tab w:val="left" w:pos="180"/>
              </w:tabs>
              <w:spacing w:after="120" w:line="276" w:lineRule="auto"/>
              <w:ind w:left="794" w:right="0" w:firstLine="0"/>
              <w:contextualSpacing w:val="0"/>
              <w:rPr>
                <w:rFonts w:hint="eastAsia"/>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A PCBU that performs construction work must manage and control the WHS risks that come with the job. It must also ensure that unauthorised access to a construction site is prevented.</w:t>
            </w:r>
          </w:p>
          <w:p>
            <w:pPr>
              <w:pStyle w:val="24"/>
              <w:tabs>
                <w:tab w:val="left" w:pos="180"/>
              </w:tabs>
              <w:spacing w:after="120" w:line="276" w:lineRule="auto"/>
              <w:ind w:left="794" w:right="0" w:firstLine="0"/>
              <w:contextualSpacing w:val="0"/>
              <w:rPr>
                <w:rFonts w:cstheme="minorHAnsi"/>
                <w:color w:val="252525" w:themeColor="text1" w:themeTint="D9"/>
                <w:sz w:val="24"/>
                <w:szCs w:val="24"/>
              </w:rPr>
            </w:pPr>
            <w:r>
              <w:rPr>
                <w:rFonts w:hint="eastAsia"/>
                <w:color w:val="0C0C0C" w:themeColor="text1" w:themeTint="F2"/>
                <w:sz w:val="24"/>
              </w:rPr>
              <w:t>The principal contractor for a construction project is also a PCBU and must be aware of the WHS duties that apply to all PCBUs performing construction work and the specific duties imposed on principal contractors in that industry</w:t>
            </w:r>
            <w:r>
              <w:rPr>
                <w:color w:val="0C0C0C" w:themeColor="text1" w:themeTint="F2"/>
                <w:sz w:val="24"/>
              </w:rPr>
              <w:t>   </w:t>
            </w:r>
            <w:r>
              <w:rPr>
                <w:rFonts w:cstheme="minorHAnsi"/>
                <w:color w:val="252525" w:themeColor="text1" w:themeTint="D9"/>
                <w:sz w:val="24"/>
                <w:szCs w:val="24"/>
              </w:rPr>
              <w:fldChar w:fldCharType="end"/>
            </w:r>
          </w:p>
        </w:tc>
      </w:tr>
      <w:bookmarkEnd w:id="45"/>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3"/>
              </w:numPr>
              <w:tabs>
                <w:tab w:val="left" w:pos="180"/>
              </w:tabs>
              <w:spacing w:after="120" w:line="276" w:lineRule="auto"/>
              <w:ind w:left="794" w:right="0" w:hanging="357"/>
              <w:contextualSpacing w:val="0"/>
              <w:jc w:val="both"/>
              <w:rPr>
                <w:rStyle w:val="59"/>
                <w:color w:val="252525" w:themeColor="text1" w:themeTint="D9"/>
                <w:sz w:val="24"/>
                <w:shd w:val="clear" w:color="auto" w:fill="FFFFFF"/>
              </w:rPr>
            </w:pPr>
            <w:r>
              <w:rPr>
                <w:rStyle w:val="59"/>
                <w:color w:val="252525" w:themeColor="text1" w:themeTint="D9"/>
                <w:sz w:val="24"/>
                <w:szCs w:val="24"/>
                <w:shd w:val="clear" w:color="auto" w:fill="FFFFFF"/>
              </w:rPr>
              <w:t>How does the model WHS Act secure the health and safety of workers?</w:t>
            </w:r>
            <w:r>
              <w:rPr>
                <w:rStyle w:val="59"/>
                <w:color w:val="252525" w:themeColor="text1" w:themeTint="D9"/>
                <w:sz w:val="24"/>
                <w:szCs w:val="24"/>
              </w:rPr>
              <w:t> </w:t>
            </w:r>
          </w:p>
          <w:p>
            <w:pPr>
              <w:pStyle w:val="24"/>
              <w:tabs>
                <w:tab w:val="left" w:pos="180"/>
              </w:tabs>
              <w:spacing w:after="120" w:line="276" w:lineRule="auto"/>
              <w:ind w:left="794" w:right="0" w:firstLine="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According to the model WHS Act, the person in charge of a workplace must ensure, to the greatest extent possible, that the workplace, the means of entering and exiting the workplace, and anything arising from the workplace poses no risk to the health and safety of any person</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3"/>
              </w:numPr>
              <w:tabs>
                <w:tab w:val="left" w:pos="180"/>
              </w:tabs>
              <w:spacing w:after="120" w:line="276" w:lineRule="auto"/>
              <w:ind w:left="794" w:right="0" w:hanging="357"/>
              <w:contextualSpacing w:val="0"/>
              <w:jc w:val="both"/>
              <w:rPr>
                <w:rStyle w:val="59"/>
                <w:color w:val="252525" w:themeColor="text1" w:themeTint="D9"/>
                <w:sz w:val="24"/>
                <w:shd w:val="clear" w:color="auto" w:fill="FFFFFF"/>
              </w:rPr>
            </w:pPr>
            <w:r>
              <w:rPr>
                <w:rStyle w:val="59"/>
                <w:color w:val="252525" w:themeColor="text1" w:themeTint="D9"/>
                <w:sz w:val="24"/>
                <w:szCs w:val="24"/>
                <w:shd w:val="clear" w:color="auto" w:fill="FFFFFF"/>
              </w:rPr>
              <w:t>Provide one example of how WHS legislation affects building and construction projects in general. </w:t>
            </w:r>
            <w:r>
              <w:rPr>
                <w:rStyle w:val="59"/>
                <w:color w:val="252525" w:themeColor="text1" w:themeTint="D9"/>
                <w:sz w:val="24"/>
                <w:szCs w:val="24"/>
              </w:rPr>
              <w:t> </w:t>
            </w:r>
          </w:p>
          <w:p>
            <w:pPr>
              <w:pStyle w:val="24"/>
              <w:tabs>
                <w:tab w:val="left" w:pos="180"/>
              </w:tabs>
              <w:spacing w:after="120" w:line="276" w:lineRule="auto"/>
              <w:ind w:left="794" w:right="0" w:firstLine="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The WHS Regulations require the person that commissions construction work to consult with the designer of a structure about safety matters and to give the designer and the principal contractor for the project information about safety matters.</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that relate to current WHS regulations that affect the 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4"/>
              </w:numPr>
              <w:tabs>
                <w:tab w:val="left" w:pos="180"/>
              </w:tabs>
              <w:spacing w:after="120" w:line="276" w:lineRule="auto"/>
              <w:ind w:right="0"/>
              <w:contextualSpacing w:val="0"/>
              <w:jc w:val="both"/>
              <w:rPr>
                <w:rStyle w:val="59"/>
                <w:color w:val="252525" w:themeColor="text1" w:themeTint="D9"/>
                <w:sz w:val="24"/>
                <w:shd w:val="clear" w:color="auto" w:fill="FFFFFF"/>
              </w:rPr>
            </w:pPr>
            <w:r>
              <w:rPr>
                <w:rStyle w:val="59"/>
                <w:color w:val="252525" w:themeColor="text1" w:themeTint="D9"/>
                <w:sz w:val="24"/>
                <w:shd w:val="clear" w:color="auto" w:fill="FFFFFF"/>
              </w:rPr>
              <w:t>What is the exact title of the WHS regulations applicable in your state/</w:t>
            </w:r>
            <w:r>
              <w:rPr>
                <w:rStyle w:val="59"/>
                <w:rFonts w:ascii="Calibri" w:hAnsi="Calibri" w:cs="Calibri"/>
                <w:color w:val="262626"/>
                <w:sz w:val="24"/>
                <w:shd w:val="clear" w:color="auto" w:fill="FFFFFF"/>
              </w:rPr>
              <w:t>territory?</w:t>
            </w:r>
          </w:p>
          <w:p>
            <w:pPr>
              <w:pStyle w:val="24"/>
              <w:tabs>
                <w:tab w:val="left" w:pos="180"/>
              </w:tabs>
              <w:spacing w:after="120" w:line="276" w:lineRule="auto"/>
              <w:ind w:left="795" w:right="0" w:firstLine="0"/>
              <w:contextualSpacing w:val="0"/>
              <w:rPr>
                <w:rStyle w:val="59"/>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work health and safety regulation 2011</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4"/>
              </w:numPr>
              <w:tabs>
                <w:tab w:val="left" w:pos="180"/>
              </w:tabs>
              <w:spacing w:after="120" w:line="276" w:lineRule="auto"/>
              <w:ind w:right="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 xml:space="preserve">From the regulations that are applicable to your </w:t>
            </w:r>
            <w:r>
              <w:rPr>
                <w:rStyle w:val="59"/>
                <w:rFonts w:ascii="Calibri" w:hAnsi="Calibri" w:cs="Calibri"/>
                <w:color w:val="000000" w:themeColor="text1"/>
                <w:sz w:val="24"/>
              </w:rPr>
              <w:t>state</w:t>
            </w:r>
            <w:r>
              <w:rPr>
                <w:rStyle w:val="59"/>
                <w:rFonts w:ascii="Calibri" w:hAnsi="Calibri" w:cs="Calibri"/>
                <w:color w:val="262626"/>
                <w:sz w:val="24"/>
                <w:shd w:val="clear" w:color="auto" w:fill="FFFFFF"/>
              </w:rPr>
              <w:t>/</w:t>
            </w:r>
            <w:r>
              <w:rPr>
                <w:rStyle w:val="59"/>
                <w:rFonts w:ascii="Calibri" w:hAnsi="Calibri" w:cs="Calibri"/>
                <w:color w:val="000000" w:themeColor="text1"/>
                <w:sz w:val="24"/>
              </w:rPr>
              <w:t xml:space="preserve">territory, </w:t>
            </w:r>
            <w:r>
              <w:rPr>
                <w:rStyle w:val="59"/>
                <w:rFonts w:ascii="Calibri" w:hAnsi="Calibri" w:cs="Calibri"/>
                <w:color w:val="262626"/>
                <w:sz w:val="24"/>
                <w:shd w:val="clear" w:color="auto" w:fill="FFFFFF"/>
              </w:rPr>
              <w:t>provide the regulation that gives information about</w:t>
            </w:r>
            <w:r>
              <w:rPr>
                <w:rStyle w:val="59"/>
                <w:rFonts w:ascii="Calibri" w:hAnsi="Calibri" w:cs="Calibri"/>
                <w:color w:val="252525" w:themeColor="text1" w:themeTint="D9"/>
                <w:sz w:val="24"/>
              </w:rPr>
              <w:t xml:space="preserve"> your duty to</w:t>
            </w:r>
            <w:r>
              <w:rPr>
                <w:rStyle w:val="59"/>
                <w:rFonts w:ascii="Calibri" w:hAnsi="Calibri" w:cs="Calibri"/>
                <w:color w:val="262626"/>
                <w:sz w:val="24"/>
                <w:shd w:val="clear" w:color="auto" w:fill="FFFFFF"/>
              </w:rPr>
              <w:t xml:space="preserve"> </w:t>
            </w:r>
            <w:r>
              <w:rPr>
                <w:rStyle w:val="59"/>
                <w:rFonts w:ascii="Calibri" w:hAnsi="Calibri" w:cs="Calibri"/>
                <w:color w:val="252525" w:themeColor="text1" w:themeTint="D9"/>
                <w:sz w:val="24"/>
              </w:rPr>
              <w:t>identify</w:t>
            </w:r>
            <w:r>
              <w:rPr>
                <w:rStyle w:val="59"/>
                <w:rFonts w:ascii="Calibri" w:hAnsi="Calibri" w:cs="Calibri"/>
                <w:color w:val="262626"/>
                <w:sz w:val="24"/>
                <w:shd w:val="clear" w:color="auto" w:fill="FFFFFF"/>
              </w:rPr>
              <w:t xml:space="preserve"> hazards</w:t>
            </w:r>
            <w:r>
              <w:rPr>
                <w:rStyle w:val="59"/>
                <w:rFonts w:ascii="Calibri" w:hAnsi="Calibri" w:cs="Calibri"/>
                <w:color w:val="000000" w:themeColor="text1"/>
                <w:sz w:val="24"/>
              </w:rPr>
              <w:t>.</w:t>
            </w:r>
            <w:r>
              <w:rPr>
                <w:rStyle w:val="59"/>
                <w:rFonts w:ascii="Calibri" w:hAnsi="Calibri" w:cs="Calibri"/>
                <w:color w:val="262626"/>
                <w:sz w:val="24"/>
                <w:shd w:val="clear" w:color="auto" w:fill="FFFFFF"/>
              </w:rPr>
              <w:t xml:space="preserve"> </w:t>
            </w:r>
          </w:p>
          <w:p>
            <w:pPr>
              <w:pStyle w:val="24"/>
              <w:tabs>
                <w:tab w:val="left" w:pos="180"/>
              </w:tabs>
              <w:spacing w:after="120" w:line="276" w:lineRule="auto"/>
              <w:ind w:left="795" w:right="0" w:firstLine="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 xml:space="preserve">If your state/territory does not have a regulation about identifying hazards in general, you may provide a regulation about identifying specific types of hazards. </w:t>
            </w:r>
          </w:p>
          <w:p>
            <w:pPr>
              <w:pStyle w:val="24"/>
              <w:tabs>
                <w:tab w:val="left" w:pos="180"/>
              </w:tabs>
              <w:spacing w:after="120" w:line="276" w:lineRule="auto"/>
              <w:ind w:left="795" w:right="0" w:firstLine="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Indicate the regulation number below.</w:t>
            </w:r>
          </w:p>
          <w:p>
            <w:pPr>
              <w:pStyle w:val="24"/>
              <w:tabs>
                <w:tab w:val="left" w:pos="180"/>
              </w:tabs>
              <w:spacing w:after="120" w:line="276" w:lineRule="auto"/>
              <w:ind w:left="795" w:right="0" w:firstLine="0"/>
              <w:contextualSpacing w:val="0"/>
              <w:jc w:val="both"/>
              <w:rPr>
                <w:rFonts w:ascii="Calibri" w:hAnsi="Calibri" w:cs="Calibri"/>
                <w:color w:val="262626"/>
                <w:sz w:val="24"/>
                <w:shd w:val="clear" w:color="auto" w:fill="FFFFFF"/>
              </w:rPr>
            </w:pPr>
            <w:r>
              <w:rPr>
                <w:color w:val="252525" w:themeColor="text1" w:themeTint="D9"/>
                <w:sz w:val="24"/>
              </w:rPr>
              <w:fldChar w:fldCharType="begin"/>
            </w:r>
            <w:r>
              <w:rPr>
                <w:color w:val="252525" w:themeColor="text1" w:themeTint="D9"/>
                <w:sz w:val="24"/>
              </w:rPr>
              <w:instrText xml:space="preserve"> FORMTEXT </w:instrText>
            </w:r>
            <w:r>
              <w:rPr>
                <w:color w:val="252525" w:themeColor="text1" w:themeTint="D9"/>
                <w:sz w:val="24"/>
              </w:rPr>
              <w:fldChar w:fldCharType="separate"/>
            </w:r>
            <w:r>
              <w:rPr>
                <w:color w:val="0C0C0C" w:themeColor="text1" w:themeTint="F2"/>
                <w:sz w:val="24"/>
              </w:rPr>
              <w:t>  </w:t>
            </w:r>
            <w:r>
              <w:rPr>
                <w:rFonts w:hint="eastAsia" w:eastAsia="宋体"/>
                <w:color w:val="0C0C0C" w:themeColor="text1" w:themeTint="F2"/>
                <w:sz w:val="24"/>
                <w:lang w:val="en-US" w:eastAsia="zh-CN"/>
              </w:rPr>
              <w:t>34</w:t>
            </w:r>
            <w:r>
              <w:rPr>
                <w:color w:val="0C0C0C" w:themeColor="text1" w:themeTint="F2"/>
                <w:sz w:val="24"/>
              </w:rPr>
              <w:t>  </w:t>
            </w:r>
            <w:r>
              <w:rPr>
                <w:color w:val="252525" w:themeColor="text1" w:themeTint="D9"/>
                <w:sz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14"/>
              </w:numPr>
              <w:tabs>
                <w:tab w:val="left" w:pos="180"/>
              </w:tabs>
              <w:spacing w:after="120" w:line="276" w:lineRule="auto"/>
              <w:ind w:right="0"/>
              <w:contextualSpacing w:val="0"/>
              <w:jc w:val="both"/>
              <w:rPr>
                <w:rStyle w:val="59"/>
                <w:rFonts w:ascii="Calibri" w:hAnsi="Calibri" w:cs="Calibri"/>
                <w:color w:val="252525" w:themeColor="text1" w:themeTint="D9"/>
                <w:sz w:val="24"/>
              </w:rPr>
            </w:pPr>
            <w:r>
              <w:rPr>
                <w:rStyle w:val="59"/>
                <w:rFonts w:ascii="Calibri" w:hAnsi="Calibri" w:cs="Calibri"/>
                <w:color w:val="252525" w:themeColor="text1" w:themeTint="D9"/>
                <w:sz w:val="24"/>
              </w:rPr>
              <w:t xml:space="preserve">From the </w:t>
            </w:r>
            <w:r>
              <w:rPr>
                <w:rStyle w:val="59"/>
                <w:rFonts w:ascii="Calibri" w:hAnsi="Calibri" w:cs="Calibri"/>
                <w:color w:val="262626"/>
                <w:sz w:val="24"/>
                <w:shd w:val="clear" w:color="auto" w:fill="FFFFFF"/>
              </w:rPr>
              <w:t>regulations</w:t>
            </w:r>
            <w:r>
              <w:rPr>
                <w:rStyle w:val="59"/>
                <w:rFonts w:ascii="Calibri" w:hAnsi="Calibri" w:cs="Calibri"/>
                <w:color w:val="252525" w:themeColor="text1" w:themeTint="D9"/>
                <w:sz w:val="24"/>
              </w:rPr>
              <w:t xml:space="preserve"> that are applicable to your </w:t>
            </w:r>
            <w:r>
              <w:rPr>
                <w:rStyle w:val="59"/>
                <w:rFonts w:ascii="Calibri" w:hAnsi="Calibri" w:cs="Calibri"/>
                <w:color w:val="000000" w:themeColor="text1"/>
                <w:sz w:val="24"/>
              </w:rPr>
              <w:t>state</w:t>
            </w:r>
            <w:r>
              <w:rPr>
                <w:rStyle w:val="59"/>
                <w:rFonts w:ascii="Calibri" w:hAnsi="Calibri" w:cs="Calibri"/>
                <w:color w:val="252525" w:themeColor="text1" w:themeTint="D9"/>
                <w:sz w:val="24"/>
              </w:rPr>
              <w:t>/</w:t>
            </w:r>
            <w:r>
              <w:rPr>
                <w:rStyle w:val="59"/>
                <w:rFonts w:ascii="Calibri" w:hAnsi="Calibri" w:cs="Calibri"/>
                <w:color w:val="000000" w:themeColor="text1"/>
                <w:sz w:val="24"/>
              </w:rPr>
              <w:t xml:space="preserve">territory, </w:t>
            </w:r>
            <w:r>
              <w:rPr>
                <w:rStyle w:val="59"/>
                <w:rFonts w:ascii="Calibri" w:hAnsi="Calibri" w:cs="Calibri"/>
                <w:color w:val="252525" w:themeColor="text1" w:themeTint="D9"/>
                <w:sz w:val="24"/>
              </w:rPr>
              <w:t>provide the r</w:t>
            </w:r>
            <w:r>
              <w:rPr>
                <w:rStyle w:val="59"/>
                <w:color w:val="252525" w:themeColor="text1" w:themeTint="D9"/>
                <w:sz w:val="24"/>
              </w:rPr>
              <w:t>egulation</w:t>
            </w:r>
            <w:r>
              <w:rPr>
                <w:rStyle w:val="59"/>
                <w:rFonts w:ascii="Calibri" w:hAnsi="Calibri" w:cs="Calibri"/>
                <w:color w:val="252525" w:themeColor="text1" w:themeTint="D9"/>
                <w:sz w:val="24"/>
              </w:rPr>
              <w:t xml:space="preserve"> that gives information about t</w:t>
            </w:r>
            <w:r>
              <w:rPr>
                <w:rStyle w:val="59"/>
                <w:color w:val="252525" w:themeColor="text1" w:themeTint="D9"/>
                <w:sz w:val="24"/>
              </w:rPr>
              <w:t>he hierarchy of control</w:t>
            </w:r>
            <w:r>
              <w:rPr>
                <w:rStyle w:val="59"/>
                <w:rFonts w:ascii="Calibri" w:hAnsi="Calibri" w:cs="Calibri"/>
                <w:color w:val="000000" w:themeColor="text1"/>
                <w:sz w:val="24"/>
              </w:rPr>
              <w:t>.</w:t>
            </w:r>
            <w:r>
              <w:rPr>
                <w:rStyle w:val="59"/>
                <w:rFonts w:ascii="Calibri" w:hAnsi="Calibri" w:cs="Calibri"/>
                <w:color w:val="252525" w:themeColor="text1" w:themeTint="D9"/>
                <w:sz w:val="24"/>
              </w:rPr>
              <w:t xml:space="preserve"> </w:t>
            </w:r>
          </w:p>
          <w:p>
            <w:pPr>
              <w:pStyle w:val="24"/>
              <w:tabs>
                <w:tab w:val="left" w:pos="180"/>
              </w:tabs>
              <w:spacing w:after="120" w:line="276" w:lineRule="auto"/>
              <w:ind w:left="795" w:right="0" w:firstLine="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If your state/territory does not have a regulation about the hierarchy of control, you may provide any regulation relevant to risk control.</w:t>
            </w:r>
          </w:p>
          <w:p>
            <w:pPr>
              <w:pStyle w:val="24"/>
              <w:tabs>
                <w:tab w:val="left" w:pos="180"/>
              </w:tabs>
              <w:spacing w:after="120" w:line="276" w:lineRule="auto"/>
              <w:ind w:left="794" w:right="0" w:firstLine="0"/>
              <w:contextualSpacing w:val="0"/>
              <w:jc w:val="both"/>
              <w:rPr>
                <w:rStyle w:val="59"/>
                <w:rFonts w:ascii="Calibri" w:hAnsi="Calibri" w:cs="Calibri"/>
                <w:color w:val="252525" w:themeColor="text1" w:themeTint="D9"/>
                <w:sz w:val="24"/>
              </w:rPr>
            </w:pPr>
            <w:r>
              <w:rPr>
                <w:rStyle w:val="59"/>
                <w:rFonts w:ascii="Calibri" w:hAnsi="Calibri" w:cs="Calibri"/>
                <w:color w:val="262626"/>
                <w:sz w:val="24"/>
                <w:shd w:val="clear" w:color="auto" w:fill="FFFFFF"/>
              </w:rPr>
              <w:t>Indicate the regulation number below.</w:t>
            </w:r>
          </w:p>
          <w:p>
            <w:pPr>
              <w:pStyle w:val="24"/>
              <w:spacing w:after="120" w:line="276" w:lineRule="auto"/>
              <w:ind w:left="794" w:right="0" w:firstLine="0"/>
              <w:contextualSpacing w:val="0"/>
              <w:jc w:val="both"/>
              <w:rPr>
                <w:rStyle w:val="59"/>
                <w:rFonts w:ascii="Calibri" w:hAnsi="Calibri" w:cs="Calibri"/>
                <w:color w:val="252525" w:themeColor="text1" w:themeTint="D9"/>
                <w:sz w:val="24"/>
              </w:rPr>
            </w:pPr>
            <w:r>
              <w:rPr>
                <w:color w:val="252525" w:themeColor="text1" w:themeTint="D9"/>
                <w:sz w:val="24"/>
              </w:rPr>
              <w:fldChar w:fldCharType="begin"/>
            </w:r>
            <w:r>
              <w:rPr>
                <w:color w:val="252525" w:themeColor="text1" w:themeTint="D9"/>
                <w:sz w:val="24"/>
              </w:rPr>
              <w:instrText xml:space="preserve"> FORMTEXT </w:instrText>
            </w:r>
            <w:r>
              <w:rPr>
                <w:color w:val="252525" w:themeColor="text1" w:themeTint="D9"/>
                <w:sz w:val="24"/>
              </w:rPr>
              <w:fldChar w:fldCharType="separate"/>
            </w:r>
            <w:r>
              <w:rPr>
                <w:color w:val="0C0C0C" w:themeColor="text1" w:themeTint="F2"/>
                <w:sz w:val="24"/>
              </w:rPr>
              <w:t>  </w:t>
            </w:r>
            <w:r>
              <w:rPr>
                <w:rFonts w:hint="eastAsia" w:eastAsia="宋体"/>
                <w:color w:val="0C0C0C" w:themeColor="text1" w:themeTint="F2"/>
                <w:sz w:val="24"/>
                <w:lang w:val="en-US" w:eastAsia="zh-CN"/>
              </w:rPr>
              <w:t>36</w:t>
            </w:r>
            <w:r>
              <w:rPr>
                <w:color w:val="0C0C0C" w:themeColor="text1" w:themeTint="F2"/>
                <w:sz w:val="24"/>
              </w:rPr>
              <w:t>   </w:t>
            </w:r>
            <w:r>
              <w:rPr>
                <w:color w:val="252525" w:themeColor="text1" w:themeTint="D9"/>
                <w:sz w:val="24"/>
              </w:rPr>
              <w:fldChar w:fldCharType="end"/>
            </w:r>
          </w:p>
        </w:tc>
      </w:tr>
    </w:tbl>
    <w:p>
      <w:pPr>
        <w:spacing w:after="120" w:line="276" w:lineRule="auto"/>
        <w:ind w:left="0" w:firstLine="0"/>
      </w:pPr>
      <w:r>
        <w:br w:type="page"/>
      </w:r>
    </w:p>
    <w:tbl>
      <w:tblPr>
        <w:tblStyle w:val="18"/>
        <w:tblW w:w="5006" w:type="pct"/>
        <w:tblInd w:w="-5"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25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53" w:hRule="atLeast"/>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color w:val="252525" w:themeColor="text1" w:themeTint="D9"/>
                <w:sz w:val="24"/>
              </w:rPr>
            </w:pPr>
            <w:r>
              <w:rPr>
                <w:color w:val="252525" w:themeColor="text1" w:themeTint="D9"/>
                <w:sz w:val="24"/>
              </w:rPr>
              <w:t>Answer the following questions that relate to current WHS safety codes that affect the 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5000" w:type="pct"/>
            <w:tcBorders>
              <w:top w:val="nil"/>
              <w:left w:val="nil"/>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873" w:hRule="atLeast"/>
        </w:trPr>
        <w:tc>
          <w:tcPr>
            <w:tcW w:w="5000" w:type="pct"/>
          </w:tcPr>
          <w:p>
            <w:pPr>
              <w:pStyle w:val="24"/>
              <w:numPr>
                <w:ilvl w:val="0"/>
                <w:numId w:val="15"/>
              </w:numPr>
              <w:tabs>
                <w:tab w:val="left" w:pos="180"/>
              </w:tabs>
              <w:spacing w:after="120" w:line="276" w:lineRule="auto"/>
              <w:ind w:right="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 xml:space="preserve">What is the exact title of the WHS code </w:t>
            </w:r>
            <w:r>
              <w:rPr>
                <w:rStyle w:val="59"/>
                <w:rFonts w:ascii="Calibri" w:hAnsi="Calibri" w:cs="Calibri"/>
                <w:color w:val="252525" w:themeColor="text1" w:themeTint="D9"/>
                <w:sz w:val="24"/>
              </w:rPr>
              <w:t>for</w:t>
            </w:r>
            <w:r>
              <w:rPr>
                <w:rStyle w:val="59"/>
                <w:rFonts w:ascii="Calibri" w:hAnsi="Calibri" w:cs="Calibri"/>
                <w:color w:val="262626"/>
                <w:sz w:val="24"/>
                <w:shd w:val="clear" w:color="auto" w:fill="FFFFFF"/>
              </w:rPr>
              <w:t xml:space="preserve"> working safely at height on a construction </w:t>
            </w:r>
            <w:r>
              <w:rPr>
                <w:rStyle w:val="59"/>
                <w:rFonts w:ascii="Calibri" w:hAnsi="Calibri" w:cs="Calibri"/>
                <w:color w:val="252525" w:themeColor="text1" w:themeTint="D9"/>
                <w:sz w:val="24"/>
              </w:rPr>
              <w:t>project t</w:t>
            </w:r>
            <w:r>
              <w:rPr>
                <w:rStyle w:val="59"/>
                <w:color w:val="252525" w:themeColor="text1" w:themeTint="D9"/>
                <w:sz w:val="24"/>
              </w:rPr>
              <w:t xml:space="preserve">hat is </w:t>
            </w:r>
            <w:r>
              <w:rPr>
                <w:rStyle w:val="59"/>
                <w:rFonts w:ascii="Calibri" w:hAnsi="Calibri" w:cs="Calibri"/>
                <w:color w:val="262626"/>
                <w:sz w:val="24"/>
                <w:shd w:val="clear" w:color="auto" w:fill="FFFFFF"/>
              </w:rPr>
              <w:t>applicable in your state/territory?</w:t>
            </w:r>
          </w:p>
          <w:p>
            <w:pPr>
              <w:pStyle w:val="24"/>
              <w:tabs>
                <w:tab w:val="left" w:pos="180"/>
              </w:tabs>
              <w:spacing w:after="120" w:line="276" w:lineRule="auto"/>
              <w:ind w:left="795" w:right="0" w:firstLine="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Identify the code of practice for your state/territory specifically, not the national codes of practice. If your state/territory has more than one applicable code of practice, you only need to identify one.</w:t>
            </w:r>
          </w:p>
          <w:p>
            <w:pPr>
              <w:pStyle w:val="24"/>
              <w:tabs>
                <w:tab w:val="left" w:pos="180"/>
              </w:tabs>
              <w:spacing w:after="120" w:line="276" w:lineRule="auto"/>
              <w:ind w:left="795" w:right="0" w:firstLine="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 code of practice for managing the risk of falls at workplace</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cantSplit/>
          <w:trHeight w:val="3969" w:hRule="atLeast"/>
        </w:trPr>
        <w:tc>
          <w:tcPr>
            <w:tcW w:w="5000" w:type="pct"/>
          </w:tcPr>
          <w:p>
            <w:pPr>
              <w:pStyle w:val="24"/>
              <w:numPr>
                <w:ilvl w:val="0"/>
                <w:numId w:val="15"/>
              </w:numPr>
              <w:tabs>
                <w:tab w:val="left" w:pos="180"/>
              </w:tabs>
              <w:spacing w:after="120" w:line="276" w:lineRule="auto"/>
              <w:ind w:left="794" w:right="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List the information that should be provided in an asbestos management plan.</w:t>
            </w:r>
          </w:p>
          <w:p>
            <w:pPr>
              <w:pStyle w:val="24"/>
              <w:tabs>
                <w:tab w:val="left" w:pos="180"/>
              </w:tabs>
              <w:spacing w:after="120" w:line="276" w:lineRule="auto"/>
              <w:ind w:left="794" w:right="0" w:firstLine="0"/>
              <w:contextualSpacing w:val="0"/>
              <w:jc w:val="both"/>
              <w:rPr>
                <w:rStyle w:val="59"/>
                <w:rFonts w:ascii="Calibri" w:hAnsi="Calibri" w:cs="Calibri"/>
                <w:color w:val="262626"/>
                <w:sz w:val="24"/>
                <w:shd w:val="clear" w:color="auto" w:fill="FFFFFF"/>
              </w:rPr>
            </w:pPr>
            <w:r>
              <w:rPr>
                <w:rStyle w:val="59"/>
                <w:rFonts w:ascii="Calibri" w:hAnsi="Calibri" w:cs="Calibri"/>
                <w:color w:val="262626"/>
                <w:sz w:val="24"/>
                <w:shd w:val="clear" w:color="auto" w:fill="FFFFFF"/>
              </w:rPr>
              <w:t xml:space="preserve">Your response must be based on the </w:t>
            </w:r>
            <w:r>
              <w:rPr>
                <w:rStyle w:val="59"/>
                <w:rFonts w:ascii="Calibri" w:hAnsi="Calibri" w:cs="Calibri"/>
                <w:color w:val="252525" w:themeColor="text1" w:themeTint="D9"/>
                <w:sz w:val="24"/>
              </w:rPr>
              <w:t xml:space="preserve">national </w:t>
            </w:r>
            <w:r>
              <w:rPr>
                <w:rStyle w:val="59"/>
                <w:rFonts w:ascii="Calibri" w:hAnsi="Calibri" w:cs="Calibri"/>
                <w:i/>
                <w:iCs/>
                <w:color w:val="262626"/>
                <w:sz w:val="24"/>
                <w:shd w:val="clear" w:color="auto" w:fill="FFFFFF"/>
              </w:rPr>
              <w:t xml:space="preserve">Model </w:t>
            </w:r>
            <w:r>
              <w:rPr>
                <w:rStyle w:val="59"/>
                <w:rFonts w:ascii="Calibri" w:hAnsi="Calibri" w:cs="Calibri"/>
                <w:i/>
                <w:iCs/>
                <w:color w:val="252525" w:themeColor="text1" w:themeTint="D9"/>
                <w:sz w:val="24"/>
              </w:rPr>
              <w:t xml:space="preserve">Code </w:t>
            </w:r>
            <w:r>
              <w:rPr>
                <w:rStyle w:val="59"/>
                <w:rFonts w:ascii="Calibri" w:hAnsi="Calibri" w:cs="Calibri"/>
                <w:i/>
                <w:iCs/>
                <w:color w:val="262626"/>
                <w:sz w:val="24"/>
                <w:shd w:val="clear" w:color="auto" w:fill="FFFFFF"/>
              </w:rPr>
              <w:t xml:space="preserve">of </w:t>
            </w:r>
            <w:r>
              <w:rPr>
                <w:rStyle w:val="59"/>
                <w:rFonts w:ascii="Calibri" w:hAnsi="Calibri" w:cs="Calibri"/>
                <w:i/>
                <w:iCs/>
                <w:color w:val="252525" w:themeColor="text1" w:themeTint="D9"/>
                <w:sz w:val="24"/>
              </w:rPr>
              <w:t xml:space="preserve">Practice: </w:t>
            </w:r>
            <w:r>
              <w:rPr>
                <w:rStyle w:val="59"/>
                <w:rFonts w:ascii="Calibri" w:hAnsi="Calibri" w:cs="Calibri"/>
                <w:i/>
                <w:iCs/>
                <w:color w:val="262626"/>
                <w:sz w:val="24"/>
                <w:shd w:val="clear" w:color="auto" w:fill="FFFFFF"/>
              </w:rPr>
              <w:t>How to manage and control asbestos in the workplace</w:t>
            </w:r>
            <w:r>
              <w:rPr>
                <w:rStyle w:val="59"/>
                <w:rFonts w:ascii="Calibri" w:hAnsi="Calibri" w:cs="Calibri"/>
                <w:color w:val="262626"/>
                <w:sz w:val="24"/>
                <w:shd w:val="clear" w:color="auto" w:fill="FFFFFF"/>
              </w:rPr>
              <w:t>.</w:t>
            </w:r>
          </w:p>
          <w:p>
            <w:pPr>
              <w:pStyle w:val="24"/>
              <w:spacing w:after="120" w:line="276" w:lineRule="auto"/>
              <w:ind w:left="794" w:right="0" w:firstLine="0"/>
              <w:contextualSpacing w:val="0"/>
              <w:jc w:val="both"/>
              <w:textAlignment w:val="baseline"/>
              <w:rPr>
                <w:rFonts w:hint="eastAsia"/>
                <w:color w:val="0C0C0C" w:themeColor="text1" w:themeTint="F2"/>
                <w:sz w:val="24"/>
              </w:rPr>
            </w:pPr>
            <w:r>
              <w:rPr>
                <w:color w:val="000000" w:themeColor="text1"/>
                <w:sz w:val="24"/>
              </w:rPr>
              <w:fldChar w:fldCharType="begin"/>
            </w:r>
            <w:r>
              <w:rPr>
                <w:color w:val="000000" w:themeColor="text1"/>
                <w:sz w:val="24"/>
              </w:rPr>
              <w:instrText xml:space="preserve"> FORMTEXT </w:instrText>
            </w:r>
            <w:r>
              <w:rPr>
                <w:color w:val="000000" w:themeColor="text1"/>
                <w:sz w:val="24"/>
              </w:rPr>
              <w:fldChar w:fldCharType="separate"/>
            </w:r>
            <w:r>
              <w:rPr>
                <w:rFonts w:hint="eastAsia"/>
                <w:color w:val="0C0C0C" w:themeColor="text1" w:themeTint="F2"/>
                <w:sz w:val="24"/>
              </w:rPr>
              <w:t xml:space="preserve">(a) the identification of asbestos or ACM; </w:t>
            </w:r>
          </w:p>
          <w:p>
            <w:pPr>
              <w:pStyle w:val="24"/>
              <w:spacing w:after="120" w:line="276" w:lineRule="auto"/>
              <w:ind w:left="794" w:right="0" w:firstLine="0"/>
              <w:contextualSpacing w:val="0"/>
              <w:jc w:val="both"/>
              <w:textAlignment w:val="baseline"/>
              <w:rPr>
                <w:rFonts w:hint="eastAsia"/>
                <w:color w:val="0C0C0C" w:themeColor="text1" w:themeTint="F2"/>
                <w:sz w:val="24"/>
              </w:rPr>
            </w:pPr>
            <w:r>
              <w:rPr>
                <w:rFonts w:hint="eastAsia"/>
                <w:color w:val="0C0C0C" w:themeColor="text1" w:themeTint="F2"/>
                <w:sz w:val="24"/>
              </w:rPr>
              <w:t>(b) decisions, and reasons for decisions, about the</w:t>
            </w:r>
            <w:r>
              <w:rPr>
                <w:rFonts w:hint="eastAsia" w:eastAsia="宋体"/>
                <w:color w:val="0C0C0C" w:themeColor="text1" w:themeTint="F2"/>
                <w:sz w:val="24"/>
                <w:lang w:val="en-US" w:eastAsia="zh-CN"/>
              </w:rPr>
              <w:t xml:space="preserve"> </w:t>
            </w:r>
            <w:r>
              <w:rPr>
                <w:rFonts w:hint="eastAsia"/>
                <w:color w:val="0C0C0C" w:themeColor="text1" w:themeTint="F2"/>
                <w:sz w:val="24"/>
              </w:rPr>
              <w:t xml:space="preserve">management of asbestos at the workplace; </w:t>
            </w:r>
          </w:p>
          <w:p>
            <w:pPr>
              <w:pStyle w:val="24"/>
              <w:spacing w:after="120" w:line="276" w:lineRule="auto"/>
              <w:ind w:left="794" w:right="0" w:firstLine="0"/>
              <w:contextualSpacing w:val="0"/>
              <w:jc w:val="both"/>
              <w:textAlignment w:val="baseline"/>
              <w:rPr>
                <w:rFonts w:hint="eastAsia"/>
                <w:color w:val="0C0C0C" w:themeColor="text1" w:themeTint="F2"/>
                <w:sz w:val="24"/>
              </w:rPr>
            </w:pPr>
            <w:r>
              <w:rPr>
                <w:rFonts w:hint="eastAsia"/>
                <w:color w:val="0C0C0C" w:themeColor="text1" w:themeTint="F2"/>
                <w:sz w:val="24"/>
              </w:rPr>
              <w:t>(c) procedures for detailing incidents or emergencies</w:t>
            </w:r>
            <w:r>
              <w:rPr>
                <w:rFonts w:hint="eastAsia" w:eastAsia="宋体"/>
                <w:color w:val="0C0C0C" w:themeColor="text1" w:themeTint="F2"/>
                <w:sz w:val="24"/>
                <w:lang w:val="en-US" w:eastAsia="zh-CN"/>
              </w:rPr>
              <w:t xml:space="preserve"> </w:t>
            </w:r>
            <w:r>
              <w:rPr>
                <w:rFonts w:hint="eastAsia"/>
                <w:color w:val="0C0C0C" w:themeColor="text1" w:themeTint="F2"/>
                <w:sz w:val="24"/>
              </w:rPr>
              <w:t>involving asbestos or ACM at the workplace; and</w:t>
            </w:r>
          </w:p>
          <w:p>
            <w:pPr>
              <w:pStyle w:val="24"/>
              <w:spacing w:after="120" w:line="276" w:lineRule="auto"/>
              <w:ind w:left="794" w:right="0" w:firstLine="0"/>
              <w:contextualSpacing w:val="0"/>
              <w:jc w:val="both"/>
              <w:textAlignment w:val="baseline"/>
              <w:rPr>
                <w:rStyle w:val="59"/>
                <w:color w:val="000000" w:themeColor="text1"/>
                <w:sz w:val="24"/>
                <w:shd w:val="clear" w:color="auto" w:fill="FFFFFF"/>
              </w:rPr>
            </w:pPr>
            <w:r>
              <w:rPr>
                <w:rFonts w:hint="eastAsia"/>
                <w:color w:val="0C0C0C" w:themeColor="text1" w:themeTint="F2"/>
                <w:sz w:val="24"/>
              </w:rPr>
              <w:t>(d) workers carrying out work involving asbestos.</w:t>
            </w:r>
            <w:r>
              <w:rPr>
                <w:color w:val="0C0C0C" w:themeColor="text1" w:themeTint="F2"/>
                <w:sz w:val="24"/>
              </w:rPr>
              <w:t> </w:t>
            </w:r>
            <w:r>
              <w:rPr>
                <w:color w:val="000000" w:themeColor="text1"/>
                <w:sz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bookmarkStart w:id="46" w:name="_Hlk58468047"/>
            <w:r>
              <w:rPr>
                <w:rFonts w:cstheme="minorHAnsi"/>
                <w:color w:val="252525" w:themeColor="text1" w:themeTint="D9"/>
                <w:sz w:val="24"/>
                <w:szCs w:val="24"/>
              </w:rPr>
              <w:t>Answer the following questions about Australian standards that should be observed in a 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cantSplit/>
          <w:trHeight w:val="74" w:hRule="atLeast"/>
          <w:jc w:val="center"/>
        </w:trPr>
        <w:tc>
          <w:tcPr>
            <w:tcW w:w="5000" w:type="pct"/>
            <w:tcBorders>
              <w:top w:val="nil"/>
              <w:left w:val="nil"/>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jc w:val="center"/>
        </w:trPr>
        <w:tc>
          <w:tcPr>
            <w:tcW w:w="5000" w:type="pct"/>
            <w:shd w:val="clear" w:color="auto" w:fill="auto"/>
          </w:tcPr>
          <w:p>
            <w:pPr>
              <w:pStyle w:val="24"/>
              <w:numPr>
                <w:ilvl w:val="0"/>
                <w:numId w:val="16"/>
              </w:numPr>
              <w:tabs>
                <w:tab w:val="left" w:pos="180"/>
              </w:tabs>
              <w:spacing w:after="120" w:line="276" w:lineRule="auto"/>
              <w:ind w:right="0"/>
              <w:contextualSpacing w:val="0"/>
              <w:jc w:val="both"/>
              <w:rPr>
                <w:b/>
                <w:bCs/>
                <w:color w:val="D73329"/>
                <w:sz w:val="22"/>
              </w:rPr>
            </w:pPr>
            <w:r>
              <w:rPr>
                <w:color w:val="252525" w:themeColor="text1" w:themeTint="D9"/>
                <w:sz w:val="24"/>
              </w:rPr>
              <w:t xml:space="preserve">The following table lists several WHS items. For each item, provide one Australian </w:t>
            </w:r>
            <w:r>
              <w:rPr>
                <w:rStyle w:val="59"/>
                <w:rFonts w:ascii="Calibri" w:hAnsi="Calibri" w:cs="Calibri"/>
                <w:color w:val="262626"/>
                <w:sz w:val="24"/>
                <w:shd w:val="clear" w:color="auto" w:fill="FFFFFF"/>
              </w:rPr>
              <w:t>standard</w:t>
            </w:r>
            <w:r>
              <w:rPr>
                <w:color w:val="252525" w:themeColor="text1" w:themeTint="D9"/>
                <w:sz w:val="24"/>
              </w:rPr>
              <w:t xml:space="preserve"> that it needs to meet before it can be used on a construction site. </w:t>
            </w:r>
          </w:p>
          <w:tbl>
            <w:tblPr>
              <w:tblStyle w:val="18"/>
              <w:tblW w:w="7930" w:type="dxa"/>
              <w:tblInd w:w="783"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066"/>
              <w:gridCol w:w="486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shd w:val="clear" w:color="auto" w:fill="E7E6E6" w:themeFill="background2"/>
                  <w:vAlign w:val="center"/>
                </w:tcPr>
                <w:p>
                  <w:pPr>
                    <w:tabs>
                      <w:tab w:val="left" w:pos="180"/>
                    </w:tabs>
                    <w:spacing w:after="120" w:line="276" w:lineRule="auto"/>
                    <w:ind w:left="0" w:right="0" w:firstLine="0"/>
                    <w:jc w:val="center"/>
                    <w:rPr>
                      <w:b/>
                      <w:bCs/>
                      <w:color w:val="252525" w:themeColor="text1" w:themeTint="D9"/>
                      <w:sz w:val="24"/>
                      <w:szCs w:val="24"/>
                    </w:rPr>
                  </w:pPr>
                  <w:r>
                    <w:rPr>
                      <w:b/>
                      <w:bCs/>
                      <w:color w:val="252525" w:themeColor="text1" w:themeTint="D9"/>
                      <w:sz w:val="24"/>
                      <w:szCs w:val="24"/>
                    </w:rPr>
                    <w:t>WHS item</w:t>
                  </w:r>
                </w:p>
              </w:tc>
              <w:tc>
                <w:tcPr>
                  <w:tcW w:w="3067" w:type="pct"/>
                  <w:shd w:val="clear" w:color="auto" w:fill="E7E6E6" w:themeFill="background2"/>
                </w:tcPr>
                <w:p>
                  <w:pPr>
                    <w:tabs>
                      <w:tab w:val="left" w:pos="180"/>
                    </w:tabs>
                    <w:spacing w:after="120" w:line="276" w:lineRule="auto"/>
                    <w:ind w:left="0" w:right="0" w:firstLine="0"/>
                    <w:jc w:val="center"/>
                    <w:rPr>
                      <w:color w:val="252525" w:themeColor="text1" w:themeTint="D9"/>
                      <w:sz w:val="24"/>
                    </w:rPr>
                  </w:pPr>
                  <w:r>
                    <w:rPr>
                      <w:b/>
                      <w:bCs/>
                      <w:color w:val="252525" w:themeColor="text1" w:themeTint="D9"/>
                      <w:sz w:val="24"/>
                    </w:rPr>
                    <w:t xml:space="preserve">Standard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color w:val="252525" w:themeColor="text1" w:themeTint="D9"/>
                      <w:sz w:val="24"/>
                      <w:szCs w:val="24"/>
                    </w:rPr>
                    <w:t>Safety Glasses</w:t>
                  </w:r>
                </w:p>
              </w:tc>
              <w:tc>
                <w:tcPr>
                  <w:tcW w:w="3067" w:type="pct"/>
                </w:tcPr>
                <w:p>
                  <w:pPr>
                    <w:spacing w:after="120" w:line="276" w:lineRule="auto"/>
                    <w:ind w:left="0" w:right="0" w:firstLine="0"/>
                    <w:rPr>
                      <w:color w:val="0C0C0C" w:themeColor="text1" w:themeTint="F2"/>
                      <w:sz w:val="24"/>
                    </w:rPr>
                  </w:pPr>
                  <w:r>
                    <w:rPr>
                      <w:color w:val="252525" w:themeColor="text1" w:themeTint="D9"/>
                      <w:sz w:val="24"/>
                    </w:rPr>
                    <w:fldChar w:fldCharType="begin"/>
                  </w:r>
                  <w:r>
                    <w:rPr>
                      <w:color w:val="252525" w:themeColor="text1" w:themeTint="D9"/>
                      <w:sz w:val="24"/>
                    </w:rPr>
                    <w:instrText xml:space="preserve"> FORMTEXT </w:instrText>
                  </w:r>
                  <w:r>
                    <w:rPr>
                      <w:color w:val="252525" w:themeColor="text1" w:themeTint="D9"/>
                      <w:sz w:val="24"/>
                    </w:rPr>
                    <w:fldChar w:fldCharType="separate"/>
                  </w:r>
                  <w:r>
                    <w:rPr>
                      <w:color w:val="0C0C0C" w:themeColor="text1" w:themeTint="F2"/>
                      <w:sz w:val="24"/>
                    </w:rPr>
                    <w:t> </w:t>
                  </w:r>
                  <w:r>
                    <w:rPr>
                      <w:rFonts w:hint="eastAsia"/>
                      <w:color w:val="0C0C0C" w:themeColor="text1" w:themeTint="F2"/>
                      <w:sz w:val="24"/>
                    </w:rPr>
                    <w:t xml:space="preserve"> glass sizing can vary up to plus or minus 2mm</w:t>
                  </w:r>
                  <w:r>
                    <w:rPr>
                      <w:color w:val="0C0C0C" w:themeColor="text1" w:themeTint="F2"/>
                      <w:sz w:val="24"/>
                    </w:rPr>
                    <w:t>    </w:t>
                  </w:r>
                  <w:r>
                    <w:rPr>
                      <w:color w:val="252525" w:themeColor="text1" w:themeTint="D9"/>
                      <w:sz w:val="24"/>
                    </w:rPr>
                    <w:fldChar w:fldCharType="end"/>
                  </w:r>
                  <w:r>
                    <w:rPr>
                      <w:color w:val="FF0000"/>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color w:val="252525" w:themeColor="text1" w:themeTint="D9"/>
                      <w:sz w:val="24"/>
                      <w:szCs w:val="24"/>
                    </w:rPr>
                    <w:t xml:space="preserve">Hearing protection </w:t>
                  </w:r>
                </w:p>
              </w:tc>
              <w:tc>
                <w:tcPr>
                  <w:tcW w:w="3067" w:type="pct"/>
                </w:tcPr>
                <w:p>
                  <w:pPr>
                    <w:spacing w:after="120" w:line="276" w:lineRule="auto"/>
                    <w:ind w:left="0" w:right="0" w:firstLine="0"/>
                    <w:rPr>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Employers shall make hearing protectors available to all employees exposed to an 8-hour time-weighted average of 85 decibels or greater at no cost to the employees.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color w:val="252525" w:themeColor="text1" w:themeTint="D9"/>
                      <w:sz w:val="24"/>
                      <w:szCs w:val="24"/>
                    </w:rPr>
                    <w:t>Work boots</w:t>
                  </w:r>
                </w:p>
              </w:tc>
              <w:tc>
                <w:tcPr>
                  <w:tcW w:w="3067" w:type="pct"/>
                </w:tcPr>
                <w:p>
                  <w:pPr>
                    <w:spacing w:after="120" w:line="276" w:lineRule="auto"/>
                    <w:ind w:left="0" w:right="0" w:firstLine="0"/>
                    <w:rPr>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Impact resistance is tested when a steel striker with a mass of 20kg is adapted to fall freely from a height of a metre and strike the safety toecap. </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right="0" w:firstLine="0"/>
              <w:jc w:val="both"/>
              <w:textAlignment w:val="baseline"/>
              <w:rPr>
                <w:rFonts w:ascii="Calibri" w:hAnsi="Calibri" w:eastAsia="Times New Roman" w:cs="Calibri"/>
                <w:color w:val="D73329"/>
                <w:sz w:val="22"/>
                <w:lang w:eastAsia="en-AU"/>
              </w:rPr>
            </w:pPr>
          </w:p>
        </w:tc>
      </w:tr>
      <w:bookmarkEnd w:id="46"/>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4"/>
              <w:numPr>
                <w:ilvl w:val="0"/>
                <w:numId w:val="16"/>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The following table lists tasks typically performed on a construction site. For each item, provide one Australian standard that needs to be observed while completing the task. </w:t>
            </w:r>
          </w:p>
          <w:tbl>
            <w:tblPr>
              <w:tblStyle w:val="18"/>
              <w:tblW w:w="7930" w:type="dxa"/>
              <w:tblInd w:w="783"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066"/>
              <w:gridCol w:w="486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shd w:val="clear" w:color="auto" w:fill="E7E6E6" w:themeFill="background2"/>
                </w:tcPr>
                <w:p>
                  <w:pPr>
                    <w:tabs>
                      <w:tab w:val="left" w:pos="180"/>
                    </w:tabs>
                    <w:spacing w:after="120" w:line="276" w:lineRule="auto"/>
                    <w:ind w:left="0" w:right="0" w:firstLine="0"/>
                    <w:jc w:val="center"/>
                    <w:rPr>
                      <w:b/>
                      <w:bCs/>
                      <w:color w:val="252525" w:themeColor="text1" w:themeTint="D9"/>
                      <w:sz w:val="24"/>
                      <w:szCs w:val="24"/>
                    </w:rPr>
                  </w:pPr>
                  <w:r>
                    <w:rPr>
                      <w:rFonts w:cstheme="minorHAnsi"/>
                      <w:b/>
                      <w:bCs/>
                      <w:color w:val="252525" w:themeColor="text1" w:themeTint="D9"/>
                      <w:sz w:val="24"/>
                      <w:szCs w:val="24"/>
                    </w:rPr>
                    <w:t>Construction task</w:t>
                  </w:r>
                </w:p>
              </w:tc>
              <w:tc>
                <w:tcPr>
                  <w:tcW w:w="3067" w:type="pct"/>
                  <w:shd w:val="clear" w:color="auto" w:fill="E7E6E6" w:themeFill="background2"/>
                </w:tcPr>
                <w:p>
                  <w:pPr>
                    <w:tabs>
                      <w:tab w:val="left" w:pos="180"/>
                    </w:tabs>
                    <w:spacing w:after="120" w:line="276" w:lineRule="auto"/>
                    <w:ind w:left="0" w:right="0" w:firstLine="0"/>
                    <w:jc w:val="center"/>
                    <w:rPr>
                      <w:color w:val="252525" w:themeColor="text1" w:themeTint="D9"/>
                      <w:sz w:val="24"/>
                    </w:rPr>
                  </w:pPr>
                  <w:r>
                    <w:rPr>
                      <w:b/>
                      <w:bCs/>
                      <w:color w:val="252525" w:themeColor="text1" w:themeTint="D9"/>
                      <w:sz w:val="24"/>
                    </w:rPr>
                    <w:t>Standard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rFonts w:cstheme="minorHAnsi"/>
                      <w:color w:val="252525" w:themeColor="text1" w:themeTint="D9"/>
                      <w:sz w:val="24"/>
                      <w:szCs w:val="24"/>
                    </w:rPr>
                    <w:t>Installation of fire hydrants</w:t>
                  </w:r>
                </w:p>
              </w:tc>
              <w:tc>
                <w:tcPr>
                  <w:tcW w:w="3067" w:type="pct"/>
                </w:tcPr>
                <w:p>
                  <w:pPr>
                    <w:spacing w:after="120" w:line="276" w:lineRule="auto"/>
                    <w:ind w:left="0" w:right="0" w:firstLine="0"/>
                    <w:rPr>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Fire hydrants shall be a minimum of 50 feet away from a building or structure, unless as determined by the Fire Chief; a longer minimum distance is needed for the safety of firemen and fire vehicles using the hydrant.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rFonts w:cstheme="minorHAnsi"/>
                      <w:color w:val="252525" w:themeColor="text1" w:themeTint="D9"/>
                      <w:sz w:val="24"/>
                      <w:szCs w:val="24"/>
                    </w:rPr>
                    <w:t xml:space="preserve">Installation of interior and workplace lighting </w:t>
                  </w:r>
                </w:p>
              </w:tc>
              <w:tc>
                <w:tcPr>
                  <w:tcW w:w="3067" w:type="pct"/>
                </w:tcPr>
                <w:p>
                  <w:pPr>
                    <w:spacing w:after="120" w:line="276" w:lineRule="auto"/>
                    <w:ind w:left="0" w:right="0" w:firstLine="0"/>
                    <w:rPr>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general work areas should be lit to 160 lux.</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74" w:hRule="atLeast"/>
              </w:trPr>
              <w:tc>
                <w:tcPr>
                  <w:tcW w:w="1933" w:type="pct"/>
                  <w:vAlign w:val="center"/>
                </w:tcPr>
                <w:p>
                  <w:pPr>
                    <w:tabs>
                      <w:tab w:val="left" w:pos="180"/>
                    </w:tabs>
                    <w:spacing w:after="120" w:line="276" w:lineRule="auto"/>
                    <w:ind w:left="0" w:right="0" w:firstLine="0"/>
                    <w:rPr>
                      <w:color w:val="252525" w:themeColor="text1" w:themeTint="D9"/>
                      <w:sz w:val="24"/>
                      <w:szCs w:val="24"/>
                    </w:rPr>
                  </w:pPr>
                  <w:r>
                    <w:rPr>
                      <w:rFonts w:cstheme="minorHAnsi"/>
                      <w:color w:val="252525" w:themeColor="text1" w:themeTint="D9"/>
                      <w:sz w:val="24"/>
                      <w:szCs w:val="24"/>
                    </w:rPr>
                    <w:t>Installation of nail plated timber roof trusses</w:t>
                  </w:r>
                </w:p>
              </w:tc>
              <w:tc>
                <w:tcPr>
                  <w:tcW w:w="3067" w:type="pct"/>
                </w:tcPr>
                <w:p>
                  <w:pPr>
                    <w:spacing w:after="120" w:line="276" w:lineRule="auto"/>
                    <w:ind w:left="0" w:right="0" w:firstLine="0"/>
                    <w:rPr>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Trusses or rafters may be attached to walls with a minimum of three of any of the nails shown in the adjoining table as long as the uplift does not exceed 200 pounds. I</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794" w:right="0" w:firstLine="0"/>
              <w:jc w:val="both"/>
              <w:textAlignment w:val="baseline"/>
              <w:rPr>
                <w:rFonts w:ascii="Calibri" w:hAnsi="Calibri" w:eastAsia="Times New Roman" w:cs="Calibri"/>
                <w:color w:val="D73329"/>
                <w:sz w:val="22"/>
                <w:lang w:eastAsia="en-AU"/>
              </w:rPr>
            </w:pPr>
          </w:p>
        </w:tc>
      </w:tr>
    </w:tbl>
    <w:p>
      <w:pPr>
        <w:spacing w:after="120" w:line="276" w:lineRule="auto"/>
        <w:ind w:left="0" w:firstLine="0"/>
      </w:pP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0"/>
        <w:gridCol w:w="61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 xml:space="preserve">The following table lists tasks that are commonly completed in the construction industry. For each task, identify a guideline applicable in your state/territory that you must follow while completing the task on a construction site.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 xml:space="preserve">Construction task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52525" w:themeColor="text1" w:themeTint="D9"/>
                <w:sz w:val="24"/>
                <w:szCs w:val="24"/>
              </w:rPr>
            </w:pPr>
            <w:r>
              <w:rPr>
                <w:rFonts w:cstheme="minorHAnsi"/>
                <w:b/>
                <w:bCs/>
                <w:color w:val="252525" w:themeColor="text1" w:themeTint="D9"/>
                <w:sz w:val="24"/>
                <w:szCs w:val="24"/>
              </w:rPr>
              <w:t xml:space="preserve">Guideline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11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7"/>
              </w:numPr>
              <w:tabs>
                <w:tab w:val="left" w:pos="180"/>
              </w:tabs>
              <w:spacing w:after="120" w:line="276" w:lineRule="auto"/>
              <w:ind w:right="0"/>
              <w:contextualSpacing w:val="0"/>
              <w:rPr>
                <w:rFonts w:cstheme="minorHAnsi"/>
                <w:color w:val="252525" w:themeColor="text1" w:themeTint="D9"/>
                <w:sz w:val="24"/>
                <w:szCs w:val="24"/>
              </w:rPr>
            </w:pPr>
            <w:r>
              <w:rPr>
                <w:color w:val="0C0C0C" w:themeColor="text1" w:themeTint="F2"/>
                <w:sz w:val="24"/>
              </w:rPr>
              <w:t>Installing scaffolding</w:t>
            </w:r>
            <w:r>
              <w:rPr>
                <w:rFonts w:cstheme="minorHAnsi"/>
                <w:color w:val="D73329"/>
                <w:sz w:val="22"/>
              </w:rPr>
              <w:t xml:space="preserve">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Each platform must be planked and decked as fully as possible with the space between the platform and uprights not more than 1 inch (2.5 centimeters) wide. The space must not exceed 9 inches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112"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17"/>
              </w:numPr>
              <w:tabs>
                <w:tab w:val="left" w:pos="180"/>
              </w:tabs>
              <w:spacing w:after="120" w:line="276" w:lineRule="auto"/>
              <w:ind w:right="0"/>
              <w:contextualSpacing w:val="0"/>
              <w:rPr>
                <w:rFonts w:cstheme="minorHAnsi"/>
                <w:color w:val="252525" w:themeColor="text1" w:themeTint="D9"/>
                <w:sz w:val="24"/>
                <w:szCs w:val="24"/>
              </w:rPr>
            </w:pPr>
            <w:r>
              <w:rPr>
                <w:color w:val="0C0C0C" w:themeColor="text1" w:themeTint="F2"/>
                <w:sz w:val="24"/>
              </w:rPr>
              <w:t xml:space="preserve">Working with </w:t>
            </w:r>
            <w:r>
              <w:rPr>
                <w:color w:val="0C0C0C" w:themeColor="text1" w:themeTint="F2"/>
              </w:rPr>
              <w:fldChar w:fldCharType="begin"/>
            </w:r>
            <w:r>
              <w:rPr>
                <w:color w:val="0C0C0C" w:themeColor="text1" w:themeTint="F2"/>
              </w:rPr>
              <w:instrText xml:space="preserve"> HYPERLINK "https://www.safework.nsw.gov.au/hazards-a-z/asbestos" </w:instrText>
            </w:r>
            <w:r>
              <w:rPr>
                <w:color w:val="0C0C0C" w:themeColor="text1" w:themeTint="F2"/>
              </w:rPr>
              <w:fldChar w:fldCharType="separate"/>
            </w:r>
            <w:r>
              <w:rPr>
                <w:color w:val="0C0C0C" w:themeColor="text1" w:themeTint="F2"/>
                <w:sz w:val="24"/>
              </w:rPr>
              <w:t>asbestos</w:t>
            </w:r>
            <w:r>
              <w:rPr>
                <w:color w:val="0C0C0C" w:themeColor="text1" w:themeTint="F2"/>
                <w:sz w:val="24"/>
              </w:rPr>
              <w:fldChar w:fldCharType="end"/>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You must keep an asbestos register if there's asbestos or ACM in your place of work</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Listed below are construction activities that are commonly completed on a construction site.</w:t>
            </w:r>
          </w:p>
          <w:p>
            <w:pPr>
              <w:pStyle w:val="24"/>
              <w:tabs>
                <w:tab w:val="left" w:pos="180"/>
              </w:tabs>
              <w:spacing w:after="120" w:line="276" w:lineRule="auto"/>
              <w:ind w:left="70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For each activity, identify two hazards that could arise from carrying out the activity.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 xml:space="preserve">Construction activity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52525" w:themeColor="text1" w:themeTint="D9"/>
                <w:sz w:val="24"/>
                <w:szCs w:val="24"/>
              </w:rPr>
            </w:pPr>
            <w:r>
              <w:rPr>
                <w:rFonts w:cstheme="minorHAnsi"/>
                <w:b/>
                <w:bCs/>
                <w:color w:val="252525" w:themeColor="text1" w:themeTint="D9"/>
                <w:sz w:val="24"/>
                <w:szCs w:val="24"/>
              </w:rPr>
              <w:t>Potential hazards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5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Crane operation</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cstheme="minorHAnsi"/>
                <w:color w:val="0C0C0C" w:themeColor="text1" w:themeTint="F2"/>
              </w:rPr>
              <w:t>Crane height,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5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weight of crane’s load</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Dogging work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Weight and centre of gravity of load</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failure of load suppor</w:t>
            </w:r>
            <w:r>
              <w:rPr>
                <w:rFonts w:hint="eastAsia" w:eastAsia="宋体"/>
                <w:color w:val="0C0C0C" w:themeColor="text1" w:themeTint="F2"/>
                <w:sz w:val="24"/>
                <w:lang w:val="en-US" w:eastAsia="zh-CN"/>
              </w:rPr>
              <w:t>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Rigging work</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FF0000"/>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failure of load suppor</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 Weight and centre of gravity of load  </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Concrete pumping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Noise and oscillation</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exposure to wet concrete and silica dusts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Tilt-up panel construction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Exposure to airborne contaminants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exposure to hazardous materials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Use of scaffolding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cstheme="minorHAnsi"/>
                <w:color w:val="0C0C0C" w:themeColor="text1" w:themeTint="F2"/>
              </w:rPr>
              <w:t>Scaffold collapse</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fall from height,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8"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Operation of plant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Moving parts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7"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sharp parts of plant and equipment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7" w:hRule="atLeast"/>
          <w:jc w:val="center"/>
        </w:trPr>
        <w:tc>
          <w:tcPr>
            <w:tcW w:w="1649" w:type="pct"/>
            <w:vMerge w:val="restart"/>
            <w:tcBorders>
              <w:top w:val="single" w:color="A5A5A5" w:themeColor="background1" w:themeShade="A6" w:sz="4" w:space="0"/>
              <w:left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Operation of equipment</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tabs>
                <w:tab w:val="left" w:pos="180"/>
              </w:tabs>
              <w:spacing w:after="120" w:line="276" w:lineRule="auto"/>
              <w:ind w:left="0" w:right="119" w:firstLine="0"/>
              <w:contextualSpacing w:val="0"/>
              <w:jc w:val="both"/>
              <w:rPr>
                <w:rFonts w:cstheme="minorHAnsi"/>
                <w:color w:val="FF0000"/>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sharp parts of plant and equipment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457" w:hRule="atLeast"/>
          <w:jc w:val="center"/>
        </w:trPr>
        <w:tc>
          <w:tcPr>
            <w:tcW w:w="1649" w:type="pct"/>
            <w:vMerge w:val="continue"/>
            <w:tcBorders>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tabs>
                <w:tab w:val="left" w:pos="180"/>
              </w:tabs>
              <w:spacing w:after="120" w:line="276" w:lineRule="auto"/>
              <w:ind w:left="0" w:right="119" w:firstLine="0"/>
              <w:contextualSpacing w:val="0"/>
              <w:jc w:val="both"/>
              <w:rPr>
                <w:rFonts w:cstheme="minorHAnsi"/>
                <w:color w:val="FF0000"/>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 Moving parts    </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Demolition</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Structure collapse</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 fall from height</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8"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3"/>
        <w:gridCol w:w="620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 xml:space="preserve">Construction activity </w:t>
            </w:r>
          </w:p>
        </w:tc>
        <w:tc>
          <w:tcPr>
            <w:tcW w:w="33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52525" w:themeColor="text1" w:themeTint="D9"/>
                <w:sz w:val="24"/>
                <w:szCs w:val="24"/>
              </w:rPr>
            </w:pPr>
            <w:r>
              <w:rPr>
                <w:rFonts w:cstheme="minorHAnsi"/>
                <w:b/>
                <w:bCs/>
                <w:color w:val="252525" w:themeColor="text1" w:themeTint="D9"/>
                <w:sz w:val="24"/>
                <w:szCs w:val="24"/>
              </w:rPr>
              <w:t>Potential hazards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Exposure to noise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Volume of noise</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strike/>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duration of exposure to noise</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Electrical work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Exposure to live electrical wires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presence of nearby flammable materials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Working at heights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Fall from height</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failure of harness system/guardrails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85" w:hRule="atLeast"/>
          <w:jc w:val="center"/>
        </w:trPr>
        <w:tc>
          <w:tcPr>
            <w:tcW w:w="1649" w:type="pct"/>
            <w:vMerge w:val="restar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8"/>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Working in confined spaces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ascii="Calibri" w:hAnsi="Calibri" w:cs="Calibri"/>
                <w:color w:val="0C0C0C" w:themeColor="text1" w:themeTint="F2"/>
              </w:rPr>
              <w:t>Poor ventilation</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5" w:hRule="atLeast"/>
          <w:jc w:val="center"/>
        </w:trPr>
        <w:tc>
          <w:tcPr>
            <w:tcW w:w="1649" w:type="pct"/>
            <w:vMerge w:val="continue"/>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spacing w:after="120" w:line="276" w:lineRule="auto"/>
              <w:ind w:left="0" w:right="0"/>
              <w:rPr>
                <w:rStyle w:val="59"/>
                <w:rFonts w:ascii="Calibri" w:hAnsi="Calibri" w:cs="Calibri" w:eastAsiaTheme="majorEastAsia"/>
                <w:color w:val="0C0C0C" w:themeColor="text1" w:themeTint="F2"/>
                <w:sz w:val="22"/>
              </w:rPr>
            </w:pP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 lighting</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p>
    <w:p>
      <w:pPr>
        <w:spacing w:after="120" w:line="276" w:lineRule="auto"/>
      </w:pPr>
      <w:r>
        <w:br w:type="page"/>
      </w:r>
    </w:p>
    <w:tbl>
      <w:tblPr>
        <w:tblStyle w:val="18"/>
        <w:tblW w:w="9031"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fixed"/>
        <w:tblCellMar>
          <w:top w:w="0" w:type="dxa"/>
          <w:left w:w="108" w:type="dxa"/>
          <w:bottom w:w="0" w:type="dxa"/>
          <w:right w:w="108" w:type="dxa"/>
        </w:tblCellMar>
      </w:tblPr>
      <w:tblGrid>
        <w:gridCol w:w="2979"/>
        <w:gridCol w:w="605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9031" w:type="dxa"/>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The following are situations that commonly occur during construction. Briefly explain why these situations are considered hazardous.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9031" w:type="dxa"/>
            <w:gridSpan w:val="2"/>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Situation</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52525" w:themeColor="text1" w:themeTint="D9"/>
                <w:sz w:val="24"/>
                <w:szCs w:val="24"/>
              </w:rPr>
            </w:pPr>
            <w:r>
              <w:rPr>
                <w:rFonts w:cstheme="minorHAnsi"/>
                <w:b/>
                <w:bCs/>
                <w:color w:val="252525" w:themeColor="text1" w:themeTint="D9"/>
                <w:sz w:val="24"/>
                <w:szCs w:val="24"/>
              </w:rPr>
              <w:t>Why this is considered hazardous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9"/>
              </w:numPr>
              <w:tabs>
                <w:tab w:val="left" w:pos="180"/>
              </w:tabs>
              <w:spacing w:after="120" w:line="276" w:lineRule="auto"/>
              <w:ind w:right="0"/>
              <w:contextualSpacing w:val="0"/>
              <w:rPr>
                <w:rFonts w:cstheme="minorHAnsi"/>
                <w:color w:val="252525" w:themeColor="text1" w:themeTint="D9"/>
                <w:sz w:val="24"/>
                <w:szCs w:val="24"/>
              </w:rPr>
            </w:pPr>
            <w:bookmarkStart w:id="47" w:name="_Hlk58866219"/>
            <w:r>
              <w:rPr>
                <w:rFonts w:cstheme="minorHAnsi"/>
                <w:color w:val="252525" w:themeColor="text1" w:themeTint="D9"/>
                <w:sz w:val="24"/>
                <w:szCs w:val="24"/>
              </w:rPr>
              <w:t xml:space="preserve">Asbestos removal </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 xml:space="preserve">it will cause </w:t>
            </w:r>
            <w:r>
              <w:rPr>
                <w:rFonts w:cstheme="minorHAnsi"/>
                <w:color w:val="252525" w:themeColor="text1" w:themeTint="D9"/>
                <w:sz w:val="24"/>
                <w:szCs w:val="24"/>
              </w:rPr>
              <w:t> </w:t>
            </w:r>
            <w:r>
              <w:rPr>
                <w:rFonts w:hint="eastAsia" w:cstheme="minorHAnsi"/>
                <w:color w:val="252525" w:themeColor="text1" w:themeTint="D9"/>
                <w:sz w:val="24"/>
                <w:szCs w:val="24"/>
              </w:rPr>
              <w:t>Respiratory illnesses, skin diseases, eye damage</w:t>
            </w:r>
            <w:r>
              <w:rPr>
                <w:rFonts w:hint="eastAsia" w:eastAsia="宋体" w:cstheme="minorHAnsi"/>
                <w:color w:val="252525" w:themeColor="text1" w:themeTint="D9"/>
                <w:sz w:val="24"/>
                <w:szCs w:val="24"/>
                <w:lang w:val="en-US" w:eastAsia="zh-CN"/>
              </w:rPr>
              <w:t xml:space="preserve"> if people youch them</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9"/>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Exposure to asbestos fibres </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  it will cause  Respiratory illnesses, skin diseases, eye damage if people youch them  </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9"/>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Exposure to silica </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    it will cause  Respiratory illnesses, skin diseases, eye damage if people youch them     </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268"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9"/>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 xml:space="preserve">Exposure to soldering fumes </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Short term problems can include nose, sinus, eye and throat irritation and skin rashes, and long term problems may include asthma and dermatitis.</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268" w:hRule="atLeast"/>
          <w:jc w:val="center"/>
        </w:trPr>
        <w:tc>
          <w:tcPr>
            <w:tcW w:w="2979"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vAlign w:val="center"/>
          </w:tcPr>
          <w:p>
            <w:pPr>
              <w:pStyle w:val="24"/>
              <w:numPr>
                <w:ilvl w:val="0"/>
                <w:numId w:val="19"/>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Exposure to carbon monoxide</w:t>
            </w:r>
          </w:p>
        </w:tc>
        <w:tc>
          <w:tcPr>
            <w:tcW w:w="6052"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xml:space="preserve">Carbon monoxide is harmful when breathed because it displaces oxygen in the blood and deprives the heart, brain and other vital organs of oxygen. </w:t>
            </w:r>
            <w:r>
              <w:rPr>
                <w:rFonts w:cstheme="minorHAnsi"/>
                <w:color w:val="252525" w:themeColor="text1" w:themeTint="D9"/>
                <w:sz w:val="24"/>
                <w:szCs w:val="24"/>
              </w:rPr>
              <w:t>  </w:t>
            </w:r>
            <w:r>
              <w:rPr>
                <w:rFonts w:cstheme="minorHAnsi"/>
                <w:color w:val="252525" w:themeColor="text1" w:themeTint="D9"/>
                <w:sz w:val="24"/>
                <w:szCs w:val="24"/>
              </w:rPr>
              <w:fldChar w:fldCharType="end"/>
            </w:r>
          </w:p>
        </w:tc>
      </w:tr>
      <w:bookmarkEnd w:id="47"/>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8"/>
        <w:gridCol w:w="619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cstheme="minorHAnsi"/>
                <w:color w:val="252525" w:themeColor="text1" w:themeTint="D9"/>
                <w:sz w:val="24"/>
                <w:szCs w:val="24"/>
              </w:rPr>
            </w:pPr>
            <w:r>
              <w:rPr>
                <w:rFonts w:cstheme="minorHAnsi"/>
                <w:color w:val="252525" w:themeColor="text1" w:themeTint="D9"/>
                <w:sz w:val="24"/>
                <w:szCs w:val="24"/>
              </w:rPr>
              <w:t>Listed below are materials and substances that are commonly found on a construction site.</w:t>
            </w:r>
          </w:p>
          <w:p>
            <w:pPr>
              <w:pStyle w:val="24"/>
              <w:tabs>
                <w:tab w:val="left" w:pos="180"/>
              </w:tabs>
              <w:spacing w:after="120" w:line="276" w:lineRule="auto"/>
              <w:ind w:left="70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For each material and substance below, briefly explain why they are considered hazardous.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Material</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color w:val="252525" w:themeColor="text1" w:themeTint="D9"/>
                <w:sz w:val="24"/>
                <w:szCs w:val="24"/>
              </w:rPr>
            </w:pPr>
            <w:r>
              <w:rPr>
                <w:rFonts w:cstheme="minorHAnsi"/>
                <w:b/>
                <w:bCs/>
                <w:color w:val="252525" w:themeColor="text1" w:themeTint="D9"/>
                <w:sz w:val="24"/>
                <w:szCs w:val="24"/>
              </w:rPr>
              <w:t>Why this is considered hazardous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Concrete mixes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lammable fuel hazards, electric shock hazard, manual handling hazards, toxic exhaust fumes, skin irritation from cement or additives</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Spray foam insulation</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hint="eastAsia"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Wheezing, shortness of breath, coughing.</w:t>
            </w:r>
          </w:p>
          <w:p>
            <w:pPr>
              <w:spacing w:after="120" w:line="276" w:lineRule="auto"/>
              <w:ind w:left="0" w:right="0" w:firstLine="0"/>
              <w:jc w:val="both"/>
              <w:rPr>
                <w:rFonts w:hint="eastAsia" w:cstheme="minorHAnsi"/>
                <w:color w:val="252525" w:themeColor="text1" w:themeTint="D9"/>
                <w:sz w:val="24"/>
                <w:szCs w:val="24"/>
              </w:rPr>
            </w:pPr>
            <w:r>
              <w:rPr>
                <w:rFonts w:hint="eastAsia" w:cstheme="minorHAnsi"/>
                <w:color w:val="252525" w:themeColor="text1" w:themeTint="D9"/>
                <w:sz w:val="24"/>
                <w:szCs w:val="24"/>
              </w:rPr>
              <w:t>Irritation of the eyes and lungs.</w:t>
            </w:r>
          </w:p>
          <w:p>
            <w:pPr>
              <w:spacing w:after="120" w:line="276" w:lineRule="auto"/>
              <w:ind w:left="0" w:right="0" w:firstLine="0"/>
              <w:jc w:val="both"/>
              <w:rPr>
                <w:rFonts w:hint="eastAsia" w:cstheme="minorHAnsi"/>
                <w:color w:val="252525" w:themeColor="text1" w:themeTint="D9"/>
                <w:sz w:val="24"/>
                <w:szCs w:val="24"/>
              </w:rPr>
            </w:pPr>
            <w:r>
              <w:rPr>
                <w:rFonts w:hint="eastAsia" w:cstheme="minorHAnsi"/>
                <w:color w:val="252525" w:themeColor="text1" w:themeTint="D9"/>
                <w:sz w:val="24"/>
                <w:szCs w:val="24"/>
              </w:rPr>
              <w:t>Fever.</w:t>
            </w:r>
          </w:p>
          <w:p>
            <w:pPr>
              <w:spacing w:after="120" w:line="276" w:lineRule="auto"/>
              <w:ind w:left="0" w:right="0" w:firstLine="0"/>
              <w:jc w:val="both"/>
              <w:rPr>
                <w:rFonts w:hint="eastAsia" w:cstheme="minorHAnsi"/>
                <w:color w:val="252525" w:themeColor="text1" w:themeTint="D9"/>
                <w:sz w:val="24"/>
                <w:szCs w:val="24"/>
              </w:rPr>
            </w:pPr>
            <w:r>
              <w:rPr>
                <w:rFonts w:hint="eastAsia" w:cstheme="minorHAnsi"/>
                <w:color w:val="252525" w:themeColor="text1" w:themeTint="D9"/>
                <w:sz w:val="24"/>
                <w:szCs w:val="24"/>
              </w:rPr>
              <w:t>Stuffy nose.</w:t>
            </w:r>
          </w:p>
          <w:p>
            <w:pPr>
              <w:spacing w:after="120" w:line="276" w:lineRule="auto"/>
              <w:ind w:left="0" w:right="0" w:firstLine="0"/>
              <w:jc w:val="both"/>
              <w:rPr>
                <w:rFonts w:cstheme="minorHAnsi"/>
                <w:color w:val="252525" w:themeColor="text1" w:themeTint="D9"/>
                <w:sz w:val="24"/>
                <w:szCs w:val="24"/>
              </w:rPr>
            </w:pPr>
            <w:r>
              <w:rPr>
                <w:rFonts w:hint="eastAsia" w:cstheme="minorHAnsi"/>
                <w:color w:val="252525" w:themeColor="text1" w:themeTint="D9"/>
                <w:sz w:val="24"/>
                <w:szCs w:val="24"/>
              </w:rPr>
              <w:t>Sore throat.</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Substance</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Why this is considered hazardous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Solvents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Short term exposure to solvents can irritate eyes, lungs and skin and may cause headaches, nausea, dizziness and light-headedness.</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0"/>
              </w:numPr>
              <w:tabs>
                <w:tab w:val="left" w:pos="180"/>
              </w:tabs>
              <w:spacing w:after="120" w:line="276" w:lineRule="auto"/>
              <w:ind w:left="794" w:right="0" w:hanging="357"/>
              <w:contextualSpacing w:val="0"/>
              <w:rPr>
                <w:rFonts w:cstheme="minorHAnsi"/>
                <w:color w:val="252525" w:themeColor="text1" w:themeTint="D9"/>
                <w:sz w:val="24"/>
                <w:szCs w:val="24"/>
              </w:rPr>
            </w:pPr>
            <w:r>
              <w:rPr>
                <w:rFonts w:cstheme="minorHAnsi"/>
                <w:color w:val="252525" w:themeColor="text1" w:themeTint="D9"/>
                <w:sz w:val="24"/>
                <w:szCs w:val="24"/>
              </w:rPr>
              <w:t>Lead</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At high levels of exposure lead attacks the brain and central nervous system, causing coma, convulsions and even death.</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color w:val="252525" w:themeColor="text1" w:themeTint="D9"/>
                <w:sz w:val="24"/>
              </w:rPr>
            </w:pPr>
            <w:r>
              <w:rPr>
                <w:color w:val="000000" w:themeColor="text1"/>
                <w:sz w:val="24"/>
              </w:rPr>
              <w:t>List five pieces of personal protective equipment (PPE) that should be used when completing each of the following construction activities.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1"/>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What five pieces of PPE must be used when installing a metal roof?</w:t>
            </w:r>
          </w:p>
          <w:p>
            <w:pPr>
              <w:pStyle w:val="24"/>
              <w:numPr>
                <w:ilvl w:val="0"/>
                <w:numId w:val="22"/>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Hard hats</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22"/>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Protective eyewear </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22"/>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Gloves</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22"/>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Safety shoes</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22"/>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Earmuffs or earplugs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1"/>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 xml:space="preserve">What five pieces of PPE must be used when welding steel inside a warehouse? </w:t>
            </w:r>
          </w:p>
          <w:p>
            <w:pPr>
              <w:pStyle w:val="24"/>
              <w:numPr>
                <w:ilvl w:val="0"/>
                <w:numId w:val="23"/>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Face mask</w:t>
            </w:r>
            <w:r>
              <w:rPr>
                <w:color w:val="0C0C0C" w:themeColor="text1" w:themeTint="F2"/>
                <w:sz w:val="24"/>
              </w:rPr>
              <w:t>    </w:t>
            </w:r>
            <w:r>
              <w:rPr>
                <w:rFonts w:cstheme="minorHAnsi"/>
                <w:color w:val="252525" w:themeColor="text1" w:themeTint="D9"/>
                <w:sz w:val="24"/>
                <w:szCs w:val="24"/>
              </w:rPr>
              <w:fldChar w:fldCharType="end"/>
            </w:r>
            <w:r>
              <w:rPr>
                <w:rFonts w:cstheme="minorHAnsi"/>
                <w:color w:val="252525" w:themeColor="text1" w:themeTint="D9"/>
                <w:sz w:val="24"/>
                <w:szCs w:val="24"/>
              </w:rPr>
              <w:t xml:space="preserve"> </w:t>
            </w:r>
          </w:p>
          <w:p>
            <w:pPr>
              <w:pStyle w:val="24"/>
              <w:numPr>
                <w:ilvl w:val="0"/>
                <w:numId w:val="23"/>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 xml:space="preserve">Protective eyewear </w:t>
            </w:r>
            <w:r>
              <w:rPr>
                <w:color w:val="0C0C0C" w:themeColor="text1" w:themeTint="F2"/>
                <w:sz w:val="24"/>
              </w:rPr>
              <w:t>    </w:t>
            </w:r>
            <w:r>
              <w:rPr>
                <w:rFonts w:cstheme="minorHAnsi"/>
                <w:color w:val="252525" w:themeColor="text1" w:themeTint="D9"/>
                <w:sz w:val="24"/>
                <w:szCs w:val="24"/>
              </w:rPr>
              <w:fldChar w:fldCharType="end"/>
            </w:r>
            <w:r>
              <w:rPr>
                <w:rFonts w:cstheme="minorHAnsi"/>
                <w:color w:val="252525" w:themeColor="text1" w:themeTint="D9"/>
                <w:sz w:val="24"/>
                <w:szCs w:val="24"/>
              </w:rPr>
              <w:t xml:space="preserve"> </w:t>
            </w:r>
          </w:p>
          <w:p>
            <w:pPr>
              <w:pStyle w:val="24"/>
              <w:numPr>
                <w:ilvl w:val="0"/>
                <w:numId w:val="23"/>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Gloves</w:t>
            </w:r>
            <w:r>
              <w:rPr>
                <w:color w:val="0C0C0C" w:themeColor="text1" w:themeTint="F2"/>
                <w:sz w:val="24"/>
              </w:rPr>
              <w:t>  </w:t>
            </w:r>
            <w:r>
              <w:rPr>
                <w:rFonts w:cstheme="minorHAnsi"/>
                <w:color w:val="252525" w:themeColor="text1" w:themeTint="D9"/>
                <w:sz w:val="24"/>
                <w:szCs w:val="24"/>
              </w:rPr>
              <w:fldChar w:fldCharType="end"/>
            </w:r>
            <w:r>
              <w:rPr>
                <w:rFonts w:cstheme="minorHAnsi"/>
                <w:color w:val="252525" w:themeColor="text1" w:themeTint="D9"/>
                <w:sz w:val="24"/>
                <w:szCs w:val="24"/>
              </w:rPr>
              <w:t xml:space="preserve"> </w:t>
            </w:r>
          </w:p>
          <w:p>
            <w:pPr>
              <w:pStyle w:val="24"/>
              <w:numPr>
                <w:ilvl w:val="0"/>
                <w:numId w:val="23"/>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Safety shoes</w:t>
            </w:r>
            <w:r>
              <w:rPr>
                <w:color w:val="0C0C0C" w:themeColor="text1" w:themeTint="F2"/>
                <w:sz w:val="24"/>
              </w:rPr>
              <w:t>  </w:t>
            </w:r>
            <w:r>
              <w:rPr>
                <w:rFonts w:cstheme="minorHAnsi"/>
                <w:color w:val="252525" w:themeColor="text1" w:themeTint="D9"/>
                <w:sz w:val="24"/>
                <w:szCs w:val="24"/>
              </w:rPr>
              <w:fldChar w:fldCharType="end"/>
            </w:r>
            <w:r>
              <w:rPr>
                <w:rFonts w:cstheme="minorHAnsi"/>
                <w:color w:val="252525" w:themeColor="text1" w:themeTint="D9"/>
                <w:sz w:val="24"/>
                <w:szCs w:val="24"/>
              </w:rPr>
              <w:t xml:space="preserve"> </w:t>
            </w:r>
          </w:p>
          <w:p>
            <w:pPr>
              <w:pStyle w:val="24"/>
              <w:numPr>
                <w:ilvl w:val="0"/>
                <w:numId w:val="23"/>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Earmuffs or earplugs</w:t>
            </w:r>
            <w:r>
              <w:rPr>
                <w:color w:val="0C0C0C" w:themeColor="text1" w:themeTint="F2"/>
                <w:sz w:val="24"/>
              </w:rPr>
              <w:t>   </w:t>
            </w:r>
            <w:r>
              <w:rPr>
                <w:rFonts w:cstheme="minorHAnsi"/>
                <w:color w:val="252525" w:themeColor="text1" w:themeTint="D9"/>
                <w:sz w:val="24"/>
                <w:szCs w:val="24"/>
              </w:rPr>
              <w:fldChar w:fldCharType="end"/>
            </w:r>
          </w:p>
        </w:tc>
      </w:tr>
    </w:tbl>
    <w:p/>
    <w:p>
      <w:pPr>
        <w:spacing w:after="120" w:line="276" w:lineRule="auto"/>
      </w:pPr>
      <w:r>
        <w:br w:type="page"/>
      </w:r>
    </w:p>
    <w:tbl>
      <w:tblPr>
        <w:tblStyle w:val="18"/>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4"/>
        <w:gridCol w:w="620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color w:val="252525" w:themeColor="text1" w:themeTint="D9"/>
                <w:sz w:val="24"/>
              </w:rPr>
            </w:pPr>
            <w:r>
              <w:rPr>
                <w:color w:val="000000" w:themeColor="text1"/>
                <w:sz w:val="24"/>
              </w:rPr>
              <w:t xml:space="preserve">Briefly explain the benefits of implementing each of the following educational programs on a construction site.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Educational programs</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Benefits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4"/>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A worker site-specific induction training</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Worker site-specific induction training is a process of introducing all workers to the construction site. It is a way to familiarise them with the site's layout, its different facilities and its areas of interest. It also informs workers of the site-specific rules as well as safety requirements and process to meet during the construction work.</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4"/>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A contractor detailed WHS induction</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bCs/>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xml:space="preserve">As they handle only a portion of a construction project, contractor detailed WHS inductions may cover specific WHS processes and practices that apply only to them, along with general WHS training inclusions such as review of WHS legislation, site access and traffic and site-specific hazards and risks. </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4"/>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A WHS induction for visitors</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bCs/>
                <w:color w:val="D73329"/>
                <w:sz w:val="22"/>
              </w:rPr>
            </w:pPr>
            <w:r>
              <w:rPr>
                <w:rFonts w:hint="eastAsia" w:cstheme="minorHAnsi"/>
                <w:color w:val="252525" w:themeColor="text1" w:themeTint="D9"/>
                <w:sz w:val="24"/>
                <w:szCs w:val="24"/>
              </w:rPr>
              <w:t>.</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WHS induction for visitors focus more on site safety, site hazards and their risks, proper use of safety equipment and PPEs, and emergency procedures</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4"/>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Health and safety representatives (HSR) training</w:t>
            </w:r>
          </w:p>
        </w:tc>
        <w:tc>
          <w:tcPr>
            <w:tcW w:w="335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bCs/>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cstheme="minorHAnsi"/>
                <w:color w:val="0C0C0C" w:themeColor="text1" w:themeTint="F2"/>
                <w:lang w:bidi="en-US"/>
              </w:rPr>
              <w:t>Under the WHS legislation, HSRs are required to take HSR training as proof of competency in work health and safety.</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spacing w:after="120" w:line="276" w:lineRule="auto"/>
      </w:pPr>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fixed"/>
        <w:tblCellMar>
          <w:top w:w="0" w:type="dxa"/>
          <w:left w:w="108" w:type="dxa"/>
          <w:bottom w:w="0" w:type="dxa"/>
          <w:right w:w="108" w:type="dxa"/>
        </w:tblCellMar>
      </w:tblPr>
      <w:tblGrid>
        <w:gridCol w:w="2953"/>
        <w:gridCol w:w="60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9026" w:type="dxa"/>
            <w:gridSpan w:val="2"/>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color w:val="252525" w:themeColor="text1" w:themeTint="D9"/>
                <w:sz w:val="24"/>
              </w:rPr>
            </w:pPr>
            <w:r>
              <w:rPr>
                <w:color w:val="000000" w:themeColor="text1"/>
                <w:sz w:val="24"/>
              </w:rPr>
              <w:t xml:space="preserve">Briefly explain what the following mental health concepts are in the context of a construction workplace.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9026" w:type="dxa"/>
            <w:gridSpan w:val="2"/>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6" w:hRule="atLeast"/>
          <w:jc w:val="center"/>
        </w:trPr>
        <w:tc>
          <w:tcPr>
            <w:tcW w:w="2953"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tabs>
                <w:tab w:val="left" w:pos="180"/>
              </w:tabs>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Mental health concepts</w:t>
            </w:r>
          </w:p>
        </w:tc>
        <w:tc>
          <w:tcPr>
            <w:tcW w:w="6073" w:type="dxa"/>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after="120" w:line="276" w:lineRule="auto"/>
              <w:ind w:left="0" w:right="0" w:firstLine="0"/>
              <w:jc w:val="center"/>
              <w:rPr>
                <w:rFonts w:cstheme="minorHAnsi"/>
                <w:b/>
                <w:bCs/>
                <w:color w:val="252525" w:themeColor="text1" w:themeTint="D9"/>
                <w:sz w:val="24"/>
                <w:szCs w:val="24"/>
              </w:rPr>
            </w:pPr>
            <w:r>
              <w:rPr>
                <w:rFonts w:cstheme="minorHAnsi"/>
                <w:b/>
                <w:bCs/>
                <w:color w:val="252525" w:themeColor="text1" w:themeTint="D9"/>
                <w:sz w:val="24"/>
                <w:szCs w:val="24"/>
              </w:rPr>
              <w:t>Brief explanations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2953"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5"/>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Mental health first aid</w:t>
            </w:r>
          </w:p>
        </w:tc>
        <w:tc>
          <w:tcPr>
            <w:tcW w:w="6073" w:type="dxa"/>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xml:space="preserve"> mental health problems are not only caused by work-related factors; although work is a contributing factor, it is not the only reason why workers in the construction industry need mental health first aid. First aid is to be given until a worker has received professional treatment.</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2953"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4"/>
              <w:numPr>
                <w:ilvl w:val="0"/>
                <w:numId w:val="25"/>
              </w:numPr>
              <w:tabs>
                <w:tab w:val="left" w:pos="180"/>
              </w:tabs>
              <w:spacing w:after="120" w:line="276" w:lineRule="auto"/>
              <w:ind w:right="0"/>
              <w:contextualSpacing w:val="0"/>
              <w:rPr>
                <w:rFonts w:cstheme="minorHAnsi"/>
                <w:color w:val="252525" w:themeColor="text1" w:themeTint="D9"/>
                <w:sz w:val="24"/>
                <w:szCs w:val="24"/>
              </w:rPr>
            </w:pPr>
            <w:r>
              <w:rPr>
                <w:rFonts w:cstheme="minorHAnsi"/>
                <w:color w:val="252525" w:themeColor="text1" w:themeTint="D9"/>
                <w:sz w:val="24"/>
                <w:szCs w:val="24"/>
              </w:rPr>
              <w:t>Workers’ mental welfare</w:t>
            </w:r>
          </w:p>
        </w:tc>
        <w:tc>
          <w:tcPr>
            <w:tcW w:w="6073" w:type="dxa"/>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jc w:val="both"/>
              <w:rPr>
                <w:rFonts w:cstheme="minorHAnsi"/>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cstheme="minorHAnsi"/>
                <w:color w:val="252525" w:themeColor="text1" w:themeTint="D9"/>
                <w:sz w:val="24"/>
                <w:szCs w:val="24"/>
              </w:rPr>
              <w:t xml:space="preserve"> On a construction site, workers’ mental welfare means that they are healthy enough to keep up with the physical demands of construction work, the constant possibility of serious injuries, and other consequences of the type of work.</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12"/>
              </w:numPr>
              <w:tabs>
                <w:tab w:val="left" w:pos="180"/>
              </w:tabs>
              <w:spacing w:after="120" w:line="276" w:lineRule="auto"/>
              <w:ind w:left="706" w:right="0" w:hanging="360"/>
              <w:contextualSpacing w:val="0"/>
              <w:jc w:val="both"/>
              <w:rPr>
                <w:rFonts w:ascii="Calibri" w:hAnsi="Calibri" w:eastAsia="Times New Roman" w:cs="Calibri"/>
                <w:color w:val="2E74B5"/>
                <w:sz w:val="24"/>
                <w:szCs w:val="24"/>
                <w:lang w:eastAsia="en-AU"/>
              </w:rPr>
            </w:pPr>
            <w:r>
              <w:rPr>
                <w:color w:val="000000" w:themeColor="text1"/>
                <w:sz w:val="24"/>
              </w:rPr>
              <w:t>Identify the items listed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ascii="Calibri" w:hAnsi="Calibri" w:eastAsia="Times New Roman" w:cs="Calibri"/>
                <w:color w:val="262626"/>
                <w:sz w:val="24"/>
                <w:szCs w:val="24"/>
                <w:lang w:eastAsia="en-AU"/>
              </w:rPr>
              <w:t xml:space="preserve">Three digital tools that you can use to effectively collaborate with other people </w:t>
            </w:r>
            <w:r>
              <w:rPr>
                <w:rFonts w:cstheme="minorHAnsi"/>
                <w:color w:val="252525" w:themeColor="text1" w:themeTint="D9"/>
                <w:sz w:val="24"/>
                <w:szCs w:val="24"/>
              </w:rPr>
              <w:t>involved</w:t>
            </w:r>
            <w:r>
              <w:rPr>
                <w:rFonts w:ascii="Calibri" w:hAnsi="Calibri" w:eastAsia="Times New Roman" w:cs="Calibri"/>
                <w:color w:val="262626"/>
                <w:sz w:val="24"/>
                <w:szCs w:val="24"/>
                <w:lang w:eastAsia="en-AU"/>
              </w:rPr>
              <w:t xml:space="preserve"> in the building and construction project.</w:t>
            </w:r>
          </w:p>
          <w:p>
            <w:pPr>
              <w:pStyle w:val="24"/>
              <w:tabs>
                <w:tab w:val="left" w:pos="180"/>
              </w:tabs>
              <w:spacing w:after="120" w:line="276" w:lineRule="auto"/>
              <w:ind w:left="795" w:right="0" w:firstLine="0"/>
              <w:contextualSpacing w:val="0"/>
              <w:jc w:val="both"/>
              <w:rPr>
                <w:rFonts w:ascii="Calibri" w:hAnsi="Calibri" w:eastAsia="Times New Roman" w:cs="Calibri"/>
                <w:color w:val="0D0D0D"/>
                <w:sz w:val="24"/>
                <w:szCs w:val="24"/>
                <w:lang w:eastAsia="en-AU"/>
              </w:rPr>
            </w:pPr>
            <w:r>
              <w:rPr>
                <w:rFonts w:ascii="Calibri" w:hAnsi="Calibri" w:eastAsia="Times New Roman" w:cs="Calibri"/>
                <w:i/>
                <w:iCs/>
                <w:color w:val="2E74B5"/>
                <w:sz w:val="24"/>
                <w:szCs w:val="24"/>
                <w:lang w:eastAsia="en-AU"/>
              </w:rPr>
              <w:t>Digital tools are computer programs, application, or software.</w:t>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emails</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skype</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icloud</w:t>
            </w:r>
            <w:r>
              <w:rPr>
                <w:color w:val="0C0C0C" w:themeColor="text1" w:themeTint="F2"/>
                <w:sz w:val="24"/>
              </w:rPr>
              <w:t>   </w:t>
            </w:r>
            <w:r>
              <w:rPr>
                <w:rFonts w:cstheme="minorHAnsi"/>
                <w:color w:val="252525" w:themeColor="text1" w:themeTint="D9"/>
                <w:sz w:val="24"/>
                <w:szCs w:val="24"/>
              </w:rPr>
              <w:fldChar w:fldCharType="end"/>
            </w:r>
            <w:r>
              <w:rPr>
                <w:rFonts w:ascii="Calibri" w:hAnsi="Calibri" w:eastAsia="Times New Roman" w:cs="Calibri"/>
                <w:color w:val="262626"/>
                <w:sz w:val="24"/>
                <w:szCs w:val="24"/>
                <w:lang w:eastAsia="en-AU"/>
              </w:rPr>
              <w:t> </w:t>
            </w:r>
            <w:r>
              <w:rPr>
                <w:rFonts w:ascii="Calibri" w:hAnsi="Calibri" w:eastAsia="Times New Roman" w:cs="Calibri"/>
                <w:color w:val="D73329"/>
                <w:sz w:val="24"/>
                <w:lang w:eastAsia="en-AU"/>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ascii="Calibri" w:hAnsi="Calibri" w:eastAsia="Times New Roman" w:cs="Calibri"/>
                <w:color w:val="262626"/>
                <w:sz w:val="24"/>
                <w:szCs w:val="24"/>
                <w:lang w:eastAsia="en-AU"/>
              </w:rPr>
              <w:t xml:space="preserve">Three digital devices that you can use to effectively collaborate with other people </w:t>
            </w:r>
            <w:r>
              <w:rPr>
                <w:rFonts w:cstheme="minorHAnsi"/>
                <w:color w:val="252525" w:themeColor="text1" w:themeTint="D9"/>
                <w:sz w:val="24"/>
                <w:szCs w:val="24"/>
              </w:rPr>
              <w:t>involved</w:t>
            </w:r>
            <w:r>
              <w:rPr>
                <w:rFonts w:ascii="Calibri" w:hAnsi="Calibri" w:eastAsia="Times New Roman" w:cs="Calibri"/>
                <w:color w:val="262626"/>
                <w:sz w:val="24"/>
                <w:szCs w:val="24"/>
                <w:lang w:eastAsia="en-AU"/>
              </w:rPr>
              <w:t xml:space="preserve"> in the building and construction project.</w:t>
            </w:r>
          </w:p>
          <w:p>
            <w:pPr>
              <w:pStyle w:val="24"/>
              <w:tabs>
                <w:tab w:val="left" w:pos="180"/>
              </w:tabs>
              <w:spacing w:after="120" w:line="276" w:lineRule="auto"/>
              <w:ind w:left="795" w:right="0" w:firstLine="0"/>
              <w:contextualSpacing w:val="0"/>
              <w:jc w:val="both"/>
              <w:rPr>
                <w:rFonts w:ascii="Calibri" w:hAnsi="Calibri" w:eastAsia="Times New Roman" w:cs="Calibri"/>
                <w:color w:val="0D0D0D"/>
                <w:sz w:val="24"/>
                <w:szCs w:val="24"/>
                <w:lang w:eastAsia="en-AU"/>
              </w:rPr>
            </w:pPr>
            <w:r>
              <w:rPr>
                <w:rFonts w:ascii="Calibri" w:hAnsi="Calibri" w:eastAsia="Times New Roman" w:cs="Calibri"/>
                <w:i/>
                <w:iCs/>
                <w:color w:val="2E74B5"/>
                <w:sz w:val="24"/>
                <w:szCs w:val="24"/>
                <w:lang w:eastAsia="en-AU"/>
              </w:rPr>
              <w:t>Digital devices are physical equipment or hardware.</w:t>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laptop</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iphone</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0D0D0D"/>
                <w:sz w:val="24"/>
                <w:szCs w:val="24"/>
                <w:lang w:eastAsia="en-AU"/>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computer</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One digitally based piece of technology for each of the following:</w:t>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xml:space="preserve">Accessing information: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webite</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xml:space="preserve">Extracting information: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ebook</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One digitally based application for each of the following:</w:t>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xml:space="preserve">Integrating information: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Artificial Intelligence And Machine Learning</w:t>
            </w:r>
            <w:r>
              <w:rPr>
                <w:color w:val="0C0C0C" w:themeColor="text1" w:themeTint="F2"/>
                <w:sz w:val="24"/>
              </w:rPr>
              <w:t>  </w:t>
            </w:r>
            <w:r>
              <w:rPr>
                <w:rFonts w:cstheme="minorHAnsi"/>
                <w:color w:val="252525" w:themeColor="text1" w:themeTint="D9"/>
                <w:sz w:val="24"/>
                <w:szCs w:val="24"/>
              </w:rPr>
              <w:fldChar w:fldCharType="end"/>
            </w:r>
          </w:p>
          <w:p>
            <w:pPr>
              <w:pStyle w:val="24"/>
              <w:numPr>
                <w:ilvl w:val="1"/>
                <w:numId w:val="26"/>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xml:space="preserve">Compiling information: </w:t>
            </w: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computer</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p>
    <w:p>
      <w:pPr>
        <w:spacing w:after="120" w:line="276" w:lineRule="auto"/>
        <w:ind w:left="0" w:firstLine="0"/>
      </w:pPr>
      <w:r>
        <w:br w:type="page"/>
      </w:r>
    </w:p>
    <w:p>
      <w:pPr>
        <w:pStyle w:val="2"/>
        <w:rPr>
          <w:lang w:val="en-AU"/>
        </w:rPr>
      </w:pPr>
      <w:bookmarkStart w:id="48" w:name="_Toc125109241"/>
      <w:r>
        <w:rPr>
          <w:lang w:val="en-AU"/>
        </w:rPr>
        <w:t>Practical Assessment</w:t>
      </w:r>
      <w:bookmarkEnd w:id="48"/>
    </w:p>
    <w:p>
      <w:pPr>
        <w:pStyle w:val="3"/>
        <w:tabs>
          <w:tab w:val="left" w:pos="180"/>
        </w:tabs>
        <w:ind w:right="0"/>
        <w:rPr>
          <w:lang w:val="en-AU"/>
        </w:rPr>
      </w:pPr>
      <w:bookmarkStart w:id="49" w:name="_Toc53038397"/>
      <w:bookmarkStart w:id="50" w:name="_Toc125109242"/>
      <w:r>
        <w:rPr>
          <w:lang w:val="en-AU"/>
        </w:rPr>
        <w:t>Candidate Instructions</w:t>
      </w:r>
      <w:bookmarkEnd w:id="49"/>
      <w:bookmarkEnd w:id="50"/>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This assessment will help you demonstrate skill requirements relevant to managing work health and safety in the building and construction workplace. </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The Practical Assessment includes the following:</w:t>
      </w:r>
    </w:p>
    <w:p>
      <w:pPr>
        <w:pStyle w:val="24"/>
        <w:numPr>
          <w:ilvl w:val="0"/>
          <w:numId w:val="27"/>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Practical Assignment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A series of written practical tests assessing the candidate’s practical knowledge and understanding of the unit of competency.</w:t>
      </w:r>
    </w:p>
    <w:p>
      <w:pPr>
        <w:pStyle w:val="24"/>
        <w:numPr>
          <w:ilvl w:val="0"/>
          <w:numId w:val="27"/>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Workplace Assessment</w:t>
      </w:r>
    </w:p>
    <w:p>
      <w:pPr>
        <w:pStyle w:val="24"/>
        <w:tabs>
          <w:tab w:val="left" w:pos="180"/>
        </w:tabs>
        <w:spacing w:after="120" w:line="276" w:lineRule="auto"/>
        <w:ind w:right="0" w:firstLine="0"/>
        <w:contextualSpacing w:val="0"/>
        <w:jc w:val="both"/>
        <w:rPr>
          <w:color w:val="252525" w:themeColor="text1" w:themeTint="D9"/>
          <w:sz w:val="24"/>
        </w:rPr>
      </w:pPr>
      <w:r>
        <w:rPr>
          <w:color w:val="252525"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rPr>
          <w:color w:val="252525" w:themeColor="text1" w:themeTint="D9"/>
          <w:sz w:val="20"/>
        </w:rPr>
      </w:pPr>
      <w:r>
        <w:rPr>
          <w:b/>
          <w:color w:val="252525" w:themeColor="text1" w:themeTint="D9"/>
          <w:sz w:val="24"/>
          <w:highlight w:val="yellow"/>
        </w:rPr>
        <w:br w:type="page"/>
      </w:r>
      <w:bookmarkStart w:id="51" w:name="_Toc47457527"/>
      <w:bookmarkStart w:id="52" w:name="_Toc53038398"/>
    </w:p>
    <w:p>
      <w:pPr>
        <w:pStyle w:val="3"/>
        <w:tabs>
          <w:tab w:val="left" w:pos="180"/>
        </w:tabs>
        <w:rPr>
          <w:lang w:val="en-AU"/>
        </w:rPr>
      </w:pPr>
      <w:bookmarkStart w:id="53" w:name="_Toc125109243"/>
      <w:r>
        <w:rPr>
          <w:lang w:val="en-AU"/>
        </w:rPr>
        <w:t>Preliminary Assessment Information</w:t>
      </w:r>
      <w:bookmarkEnd w:id="53"/>
    </w:p>
    <w:tbl>
      <w:tblPr>
        <w:tblStyle w:val="18"/>
        <w:tblW w:w="501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8"/>
        <w:gridCol w:w="62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5" w:themeColor="accent5" w:themeShade="BF"/>
                <w:sz w:val="24"/>
                <w:szCs w:val="24"/>
                <w:lang w:eastAsia="en-AU" w:bidi="en-US"/>
              </w:rPr>
            </w:pPr>
            <w:r>
              <w:rPr>
                <w:rFonts w:cstheme="minorHAnsi"/>
                <w:i/>
                <w:iCs/>
                <w:color w:val="2E75B5"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For example (but not limited to):</w:t>
            </w:r>
          </w:p>
          <w:p>
            <w:pPr>
              <w:pStyle w:val="24"/>
              <w:numPr>
                <w:ilvl w:val="0"/>
                <w:numId w:val="28"/>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If the task asks you to refer to building and construction legislation and regulatory requirements, refer to the requirements that apply to the state/territory where your nominated building and construction project is undertaken.</w:t>
            </w:r>
          </w:p>
          <w:p>
            <w:pPr>
              <w:pStyle w:val="24"/>
              <w:numPr>
                <w:ilvl w:val="0"/>
                <w:numId w:val="28"/>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Work role/title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119" w:firstLine="0"/>
              <w:jc w:val="both"/>
              <w:rPr>
                <w:rFonts w:cstheme="minorHAnsi"/>
                <w:bCs/>
                <w:color w:val="D73329"/>
                <w:sz w:val="22"/>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Bulding granny flat</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Organisation/workplace</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95 woodlands rd Gatton</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Building and construction project</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granny flat</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Project overview</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Building classification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class one</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Project site address</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95 woodlands rd Gatton</w:t>
            </w:r>
            <w:r>
              <w:rPr>
                <w:rFonts w:cstheme="minorHAnsi"/>
                <w:color w:val="252525" w:themeColor="text1" w:themeTint="D9"/>
                <w:sz w:val="24"/>
                <w:szCs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4"/>
              <w:tabs>
                <w:tab w:val="left" w:pos="180"/>
              </w:tabs>
              <w:spacing w:after="120" w:line="276" w:lineRule="auto"/>
              <w:ind w:left="0" w:right="0" w:firstLine="0"/>
              <w:contextualSpacing w:val="0"/>
              <w:rPr>
                <w:rFonts w:cstheme="minorHAnsi"/>
                <w:color w:val="252525" w:themeColor="text1" w:themeTint="D9"/>
                <w:sz w:val="24"/>
                <w:szCs w:val="24"/>
              </w:rPr>
            </w:pPr>
            <w:r>
              <w:rPr>
                <w:rFonts w:cstheme="minorHAnsi"/>
                <w:color w:val="252525" w:themeColor="text1" w:themeTint="D9"/>
                <w:sz w:val="24"/>
                <w:szCs w:val="24"/>
              </w:rPr>
              <w:t>State/territory where this project is being undertaken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tabs>
                <w:tab w:val="left" w:pos="180"/>
              </w:tabs>
              <w:spacing w:after="120" w:line="276" w:lineRule="auto"/>
              <w:ind w:left="0" w:right="119"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rFonts w:cstheme="minorHAnsi"/>
                <w:color w:val="252525" w:themeColor="text1" w:themeTint="D9"/>
                <w:sz w:val="24"/>
                <w:szCs w:val="24"/>
              </w:rPr>
              <w:t>  </w:t>
            </w:r>
            <w:r>
              <w:rPr>
                <w:rFonts w:hint="eastAsia" w:eastAsia="宋体" w:cstheme="minorHAnsi"/>
                <w:color w:val="252525" w:themeColor="text1" w:themeTint="D9"/>
                <w:sz w:val="24"/>
                <w:szCs w:val="24"/>
                <w:lang w:val="en-US" w:eastAsia="zh-CN"/>
              </w:rPr>
              <w:t>QLD</w:t>
            </w:r>
            <w:bookmarkStart w:id="101" w:name="_GoBack"/>
            <w:bookmarkEnd w:id="101"/>
            <w:r>
              <w:rPr>
                <w:rFonts w:cstheme="minorHAnsi"/>
                <w:color w:val="252525" w:themeColor="text1" w:themeTint="D9"/>
                <w:sz w:val="24"/>
                <w:szCs w:val="24"/>
              </w:rPr>
              <w:t>   </w:t>
            </w:r>
            <w:r>
              <w:rPr>
                <w:rFonts w:cstheme="minorHAnsi"/>
                <w:color w:val="252525" w:themeColor="text1" w:themeTint="D9"/>
                <w:sz w:val="24"/>
                <w:szCs w:val="24"/>
              </w:rPr>
              <w:fldChar w:fldCharType="end"/>
            </w:r>
          </w:p>
        </w:tc>
      </w:tr>
    </w:tbl>
    <w:p>
      <w:pPr>
        <w:ind w:left="432" w:firstLine="0"/>
      </w:pPr>
      <w:bookmarkStart w:id="54" w:name="_Toc53038399"/>
      <w:bookmarkStart w:id="55" w:name="_Toc52091797"/>
      <w:r>
        <w:rPr>
          <w:highlight w:val="cyan"/>
        </w:rPr>
        <w:br w:type="page"/>
      </w:r>
    </w:p>
    <w:bookmarkEnd w:id="51"/>
    <w:bookmarkEnd w:id="52"/>
    <w:bookmarkEnd w:id="54"/>
    <w:bookmarkEnd w:id="55"/>
    <w:p>
      <w:pPr>
        <w:pStyle w:val="2"/>
        <w:rPr>
          <w:lang w:val="en-AU"/>
        </w:rPr>
      </w:pPr>
      <w:bookmarkStart w:id="56" w:name="_Toc31695067"/>
      <w:bookmarkStart w:id="57" w:name="_Toc53038400"/>
      <w:bookmarkStart w:id="58" w:name="_Toc125109244"/>
      <w:r>
        <w:rPr>
          <w:lang w:val="en-AU"/>
        </w:rPr>
        <w:t>Practical Assignment</w:t>
      </w:r>
      <w:bookmarkEnd w:id="56"/>
      <w:bookmarkEnd w:id="57"/>
      <w:bookmarkEnd w:id="58"/>
    </w:p>
    <w:p>
      <w:pPr>
        <w:pStyle w:val="3"/>
        <w:tabs>
          <w:tab w:val="left" w:pos="180"/>
        </w:tabs>
        <w:ind w:right="0"/>
        <w:rPr>
          <w:lang w:val="en-AU"/>
        </w:rPr>
      </w:pPr>
      <w:bookmarkStart w:id="59" w:name="_Toc125109245"/>
      <w:bookmarkStart w:id="60" w:name="_Toc53038401"/>
      <w:bookmarkStart w:id="61" w:name="_Toc31695068"/>
      <w:r>
        <w:rPr>
          <w:lang w:val="en-AU"/>
        </w:rPr>
        <w:t>Overview</w:t>
      </w:r>
      <w:bookmarkEnd w:id="59"/>
      <w:bookmarkEnd w:id="60"/>
      <w:bookmarkEnd w:id="61"/>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3959"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The goal of this assessment is to assess your practical knowledge of:</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The work health and safety (WHS) policies and procedures within your workplace </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safety and reporting requirements of your workplace</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WHS inspection, audit, and investigation processes of your workplace</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emergency, first aid, and evacuation procedures within your workplace</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The waste management and environmental practices within your workplace</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 xml:space="preserve">This assessment has five tasks: </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Task 1 – Identify Workplace Safety Policies and Procedures</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Task 2 – Identify Workplace Safety and Reporting Requirements</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Task 3 – Outline Workplace Inspection, Auditing, and Investigation Processes </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 xml:space="preserve">Task 4 – Outline Workplace Emergency, First Aid, and Evacuation Procedures </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Task 5 – Outline Workplace Waste Management and Environmental Practices</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C0C0C" w:themeColor="text1" w:themeTint="F2"/>
                <w:sz w:val="24"/>
                <w:szCs w:val="24"/>
                <w:lang w:eastAsia="en-AU" w:bidi="en-US"/>
              </w:rPr>
            </w:pPr>
            <w:r>
              <w:rPr>
                <w:rFonts w:cstheme="minorHAnsi"/>
                <w:b/>
                <w:bCs/>
                <w:color w:val="0C0C0C" w:themeColor="text1" w:themeTint="F2"/>
                <w:sz w:val="24"/>
                <w:szCs w:val="24"/>
                <w:lang w:eastAsia="en-AU" w:bidi="en-US"/>
              </w:rPr>
              <w:t>You are required to:</w:t>
            </w:r>
          </w:p>
          <w:p>
            <w:pPr>
              <w:pStyle w:val="24"/>
              <w:numPr>
                <w:ilvl w:val="0"/>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Access and review the following workplace policies and procedures relevant to WHS in your workplace.</w:t>
            </w:r>
          </w:p>
          <w:p>
            <w:pPr>
              <w:pStyle w:val="24"/>
              <w:tabs>
                <w:tab w:val="left" w:pos="180"/>
              </w:tabs>
              <w:spacing w:after="120" w:line="276" w:lineRule="auto"/>
              <w:ind w:right="0" w:firstLine="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These policies and procedures must relate to the following WHS topics: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Reporting</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Inspections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Auditing</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Incident investigations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Emergency response</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First aid</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Evacuations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Waste management</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Environmental practices</w:t>
            </w:r>
          </w:p>
        </w:tc>
      </w:tr>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cantSplit/>
          <w:trHeight w:val="3959"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Review the task instructions included in this Practical Assignment.</w:t>
            </w:r>
          </w:p>
          <w:p>
            <w:pPr>
              <w:pStyle w:val="24"/>
              <w:numPr>
                <w:ilvl w:val="0"/>
                <w:numId w:val="29"/>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Record your response as required in the instructions.</w:t>
            </w:r>
          </w:p>
          <w:p>
            <w:pPr>
              <w:tabs>
                <w:tab w:val="left" w:pos="180"/>
              </w:tabs>
              <w:spacing w:after="120" w:line="276" w:lineRule="auto"/>
              <w:ind w:left="0" w:right="0" w:firstLine="0"/>
              <w:jc w:val="both"/>
              <w:rPr>
                <w:b/>
                <w:color w:val="252525" w:themeColor="text1" w:themeTint="D9"/>
                <w:sz w:val="24"/>
              </w:rPr>
            </w:pPr>
            <w:r>
              <w:rPr>
                <w:b/>
                <w:color w:val="252525" w:themeColor="text1" w:themeTint="D9"/>
                <w:sz w:val="24"/>
              </w:rPr>
              <w:t>Resources required for assessment</w:t>
            </w:r>
          </w:p>
          <w:p>
            <w:pPr>
              <w:pStyle w:val="24"/>
              <w:numPr>
                <w:ilvl w:val="0"/>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WHS policies, procedures, processes, and practices for the following:</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Safety reporting</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Safety inspections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color w:val="252525" w:themeColor="text1" w:themeTint="D9"/>
                <w:sz w:val="24"/>
                <w:szCs w:val="24"/>
              </w:rPr>
              <w:t>Safety</w:t>
            </w:r>
            <w:r>
              <w:rPr>
                <w:rFonts w:cstheme="minorHAnsi"/>
                <w:color w:val="0C0C0C" w:themeColor="text1" w:themeTint="F2"/>
                <w:sz w:val="24"/>
                <w:szCs w:val="24"/>
                <w:lang w:eastAsia="en-AU" w:bidi="en-US"/>
              </w:rPr>
              <w:t xml:space="preserve"> auditing</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Incident investigations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Emergency response</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First aid</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Evacuations</w:t>
            </w:r>
          </w:p>
          <w:p>
            <w:pPr>
              <w:pStyle w:val="24"/>
              <w:numPr>
                <w:ilvl w:val="1"/>
                <w:numId w:val="29"/>
              </w:numPr>
              <w:tabs>
                <w:tab w:val="left" w:pos="180"/>
              </w:tabs>
              <w:spacing w:after="120" w:line="276" w:lineRule="auto"/>
              <w:ind w:right="0"/>
              <w:contextualSpacing w:val="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Waste management</w:t>
            </w:r>
          </w:p>
          <w:p>
            <w:pPr>
              <w:pStyle w:val="24"/>
              <w:numPr>
                <w:ilvl w:val="1"/>
                <w:numId w:val="29"/>
              </w:numPr>
              <w:tabs>
                <w:tab w:val="left" w:pos="180"/>
              </w:tabs>
              <w:spacing w:after="120" w:line="276" w:lineRule="auto"/>
              <w:ind w:right="0"/>
              <w:contextualSpacing w:val="0"/>
              <w:jc w:val="both"/>
              <w:rPr>
                <w:color w:val="0C0C0C" w:themeColor="text1" w:themeTint="F2"/>
                <w:sz w:val="24"/>
                <w:lang w:eastAsia="en-AU" w:bidi="en-US"/>
              </w:rPr>
            </w:pPr>
            <w:r>
              <w:rPr>
                <w:rFonts w:cstheme="minorHAnsi"/>
                <w:color w:val="0C0C0C" w:themeColor="text1" w:themeTint="F2"/>
                <w:sz w:val="24"/>
                <w:szCs w:val="24"/>
                <w:lang w:eastAsia="en-AU" w:bidi="en-US"/>
              </w:rPr>
              <w:t>Environmental practices</w:t>
            </w:r>
          </w:p>
        </w:tc>
      </w:tr>
    </w:tbl>
    <w:p>
      <w:pPr>
        <w:spacing w:before="0" w:line="276" w:lineRule="auto"/>
        <w:ind w:left="0" w:firstLine="0"/>
      </w:pPr>
    </w:p>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0"/>
              </w:numPr>
              <w:spacing w:after="120" w:line="276" w:lineRule="auto"/>
              <w:ind w:left="746" w:right="0" w:hanging="386"/>
              <w:contextualSpacing w:val="0"/>
              <w:jc w:val="both"/>
              <w:rPr>
                <w:rFonts w:cstheme="minorHAnsi"/>
                <w:color w:val="252525" w:themeColor="text1" w:themeTint="D9"/>
                <w:sz w:val="24"/>
                <w:szCs w:val="24"/>
              </w:rPr>
            </w:pPr>
            <w:r>
              <w:rPr>
                <w:rFonts w:cstheme="minorHAnsi"/>
                <w:color w:val="252525" w:themeColor="text1" w:themeTint="D9"/>
                <w:sz w:val="24"/>
                <w:szCs w:val="24"/>
              </w:rPr>
              <w:t xml:space="preserve">Access and review policies in your organisation relevant to </w:t>
            </w:r>
            <w:r>
              <w:rPr>
                <w:rFonts w:cstheme="minorHAnsi"/>
                <w:b/>
                <w:bCs/>
                <w:color w:val="252525" w:themeColor="text1" w:themeTint="D9"/>
                <w:sz w:val="24"/>
                <w:szCs w:val="24"/>
              </w:rPr>
              <w:t>safety</w:t>
            </w:r>
            <w:r>
              <w:rPr>
                <w:rFonts w:cstheme="minorHAnsi"/>
                <w:color w:val="252525" w:themeColor="text1" w:themeTint="D9"/>
                <w:sz w:val="24"/>
                <w:szCs w:val="24"/>
              </w:rPr>
              <w:t>.</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based on the safety policies you have reviewed.</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the policies you accessed and reviewed to your assessor. You must submit a minimum of two policies.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1"/>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What are the titles/names of the policies you accessed and reviewed?</w:t>
            </w:r>
          </w:p>
          <w:p>
            <w:pPr>
              <w:pStyle w:val="24"/>
              <w:numPr>
                <w:ilvl w:val="0"/>
                <w:numId w:val="32"/>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EMPLOYEE INVOLVEMENT IN ERGONOMICS</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32"/>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HAZARD COMMUNICATIONS</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1"/>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Provide three topics that are covered by the safety policies in your organisation.</w:t>
            </w:r>
          </w:p>
          <w:p>
            <w:pPr>
              <w:pStyle w:val="24"/>
              <w:numPr>
                <w:ilvl w:val="0"/>
                <w:numId w:val="33"/>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 xml:space="preserve">risk assessment </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33"/>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Safe handling and use of substances</w:t>
            </w:r>
            <w:r>
              <w:rPr>
                <w:color w:val="0C0C0C" w:themeColor="text1" w:themeTint="F2"/>
                <w:sz w:val="24"/>
              </w:rPr>
              <w:t>    </w:t>
            </w:r>
            <w:r>
              <w:rPr>
                <w:rFonts w:cstheme="minorHAnsi"/>
                <w:color w:val="252525" w:themeColor="text1" w:themeTint="D9"/>
                <w:sz w:val="24"/>
                <w:szCs w:val="24"/>
              </w:rPr>
              <w:fldChar w:fldCharType="end"/>
            </w:r>
          </w:p>
          <w:p>
            <w:pPr>
              <w:pStyle w:val="24"/>
              <w:numPr>
                <w:ilvl w:val="0"/>
                <w:numId w:val="33"/>
              </w:numPr>
              <w:tabs>
                <w:tab w:val="left" w:pos="180"/>
              </w:tabs>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Worker/staff training.</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0"/>
              </w:numPr>
              <w:spacing w:after="120" w:line="276" w:lineRule="auto"/>
              <w:ind w:left="746" w:right="0" w:hanging="386"/>
              <w:contextualSpacing w:val="0"/>
              <w:jc w:val="both"/>
              <w:rPr>
                <w:rFonts w:cstheme="minorHAnsi"/>
                <w:color w:val="252525" w:themeColor="text1" w:themeTint="D9"/>
                <w:sz w:val="24"/>
                <w:szCs w:val="24"/>
              </w:rPr>
            </w:pPr>
            <w:r>
              <w:rPr>
                <w:rFonts w:cstheme="minorHAnsi"/>
                <w:color w:val="252525" w:themeColor="text1" w:themeTint="D9"/>
                <w:sz w:val="24"/>
                <w:szCs w:val="24"/>
              </w:rPr>
              <w:t>Access and review documents in your organisation relevant to:</w:t>
            </w:r>
          </w:p>
          <w:p>
            <w:pPr>
              <w:pStyle w:val="24"/>
              <w:numPr>
                <w:ilvl w:val="0"/>
                <w:numId w:val="34"/>
              </w:numPr>
              <w:spacing w:after="120" w:line="276" w:lineRule="auto"/>
              <w:ind w:left="1463" w:right="0" w:hanging="357"/>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Safety requirements</w:t>
            </w:r>
          </w:p>
          <w:p>
            <w:pPr>
              <w:pStyle w:val="24"/>
              <w:numPr>
                <w:ilvl w:val="0"/>
                <w:numId w:val="34"/>
              </w:numPr>
              <w:spacing w:after="120" w:line="276" w:lineRule="auto"/>
              <w:ind w:left="1463" w:right="0" w:hanging="357"/>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Reporting requirements</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based on the organisational documents you have reviewed.</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the organisational documents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5"/>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What personal protective equipment (PPE) are required for personnel on the building and construction project you are currently undertaking?</w:t>
            </w:r>
          </w:p>
          <w:p>
            <w:pPr>
              <w:pStyle w:val="24"/>
              <w:tabs>
                <w:tab w:val="left" w:pos="180"/>
              </w:tabs>
              <w:spacing w:after="120" w:line="276" w:lineRule="auto"/>
              <w:ind w:left="795"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Face mask</w:t>
            </w:r>
            <w:r>
              <w:rPr>
                <w:rFonts w:hint="eastAsia" w:eastAsia="宋体"/>
                <w:color w:val="0C0C0C" w:themeColor="text1" w:themeTint="F2"/>
                <w:sz w:val="24"/>
                <w:lang w:val="en-US" w:eastAsia="zh-CN"/>
              </w:rPr>
              <w:t>,</w:t>
            </w:r>
            <w:r>
              <w:rPr>
                <w:color w:val="0C0C0C" w:themeColor="text1" w:themeTint="F2"/>
                <w:sz w:val="24"/>
              </w:rPr>
              <w:t> </w:t>
            </w:r>
            <w:r>
              <w:rPr>
                <w:rFonts w:hint="eastAsia"/>
                <w:color w:val="0C0C0C" w:themeColor="text1" w:themeTint="F2"/>
                <w:sz w:val="24"/>
              </w:rPr>
              <w:t>Gloves</w:t>
            </w:r>
            <w:r>
              <w:rPr>
                <w:rFonts w:hint="eastAsia" w:eastAsia="宋体"/>
                <w:color w:val="0C0C0C" w:themeColor="text1" w:themeTint="F2"/>
                <w:sz w:val="24"/>
                <w:lang w:val="en-US" w:eastAsia="zh-CN"/>
              </w:rPr>
              <w:t xml:space="preserve">,  boot shoes </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5"/>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What information must you include when submitting an incident report to the health and safety representatives (HSRs) on the building and construction project you are currently undertaking?</w:t>
            </w:r>
          </w:p>
          <w:p>
            <w:pPr>
              <w:pStyle w:val="24"/>
              <w:tabs>
                <w:tab w:val="left" w:pos="180"/>
              </w:tabs>
              <w:spacing w:after="120" w:line="276" w:lineRule="auto"/>
              <w:ind w:left="795"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take HSR</w:t>
            </w:r>
            <w:r>
              <w:rPr>
                <w:rFonts w:hint="eastAsia" w:eastAsia="宋体"/>
                <w:color w:val="0C0C0C" w:themeColor="text1" w:themeTint="F2"/>
                <w:sz w:val="24"/>
                <w:lang w:val="en-US" w:eastAsia="zh-CN"/>
              </w:rPr>
              <w:t xml:space="preserve"> up to date</w:t>
            </w:r>
            <w:r>
              <w:rPr>
                <w:rFonts w:hint="eastAsia"/>
                <w:color w:val="0C0C0C" w:themeColor="text1" w:themeTint="F2"/>
                <w:sz w:val="24"/>
              </w:rPr>
              <w:t xml:space="preserve"> training</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gridCol w:w="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cantSplit/>
          <w:trHeight w:val="153" w:hRule="atLeast"/>
          <w:jc w:val="center"/>
        </w:trPr>
        <w:tc>
          <w:tcPr>
            <w:tcW w:w="4994" w:type="pct"/>
            <w:tcBorders>
              <w:top w:val="nil"/>
              <w:left w:val="nil"/>
              <w:bottom w:val="nil"/>
              <w:right w:val="nil"/>
            </w:tcBorders>
            <w:shd w:val="clear" w:color="auto" w:fill="D9E2F3" w:themeFill="accent1" w:themeFillTint="33"/>
          </w:tcPr>
          <w:p>
            <w:pPr>
              <w:pStyle w:val="24"/>
              <w:numPr>
                <w:ilvl w:val="0"/>
                <w:numId w:val="30"/>
              </w:numPr>
              <w:spacing w:after="120" w:line="276" w:lineRule="auto"/>
              <w:ind w:left="746" w:right="0" w:hanging="386"/>
              <w:contextualSpacing w:val="0"/>
              <w:jc w:val="both"/>
              <w:rPr>
                <w:rFonts w:cstheme="minorHAnsi"/>
                <w:color w:val="252525" w:themeColor="text1" w:themeTint="D9"/>
                <w:sz w:val="24"/>
                <w:szCs w:val="24"/>
              </w:rPr>
            </w:pPr>
            <w:r>
              <w:rPr>
                <w:rFonts w:cstheme="minorHAnsi"/>
                <w:color w:val="252525" w:themeColor="text1" w:themeTint="D9"/>
                <w:sz w:val="24"/>
                <w:szCs w:val="24"/>
              </w:rPr>
              <w:t>Access and review documents in your organisation relevant to the following processes:</w:t>
            </w:r>
          </w:p>
          <w:p>
            <w:pPr>
              <w:pStyle w:val="24"/>
              <w:numPr>
                <w:ilvl w:val="0"/>
                <w:numId w:val="36"/>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Site inspections</w:t>
            </w:r>
          </w:p>
          <w:p>
            <w:pPr>
              <w:pStyle w:val="24"/>
              <w:numPr>
                <w:ilvl w:val="0"/>
                <w:numId w:val="36"/>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WHS audits</w:t>
            </w:r>
          </w:p>
          <w:p>
            <w:pPr>
              <w:pStyle w:val="24"/>
              <w:numPr>
                <w:ilvl w:val="0"/>
                <w:numId w:val="36"/>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Incident investigations</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based on the organisational documents you have reviewed.</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the organisational documents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cantSplit/>
          <w:trHeight w:val="74" w:hRule="atLeast"/>
          <w:jc w:val="center"/>
        </w:trPr>
        <w:tc>
          <w:tcPr>
            <w:tcW w:w="4994"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cantSplit/>
          <w:trHeight w:val="3402" w:hRule="atLeast"/>
          <w:jc w:val="center"/>
        </w:trPr>
        <w:tc>
          <w:tcPr>
            <w:tcW w:w="4994"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7"/>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Outline the process for site inspections followed in your organisation.</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fldChar w:fldCharType="begin">
                <w:ffData>
                  <w:name w:val="Text1"/>
                  <w:enabled/>
                  <w:calcOnExit w:val="0"/>
                  <w:textInput/>
                </w:ffData>
              </w:fldChar>
            </w:r>
            <w:r>
              <w:rPr>
                <w:rFonts w:ascii="Calibri" w:hAnsi="Calibri" w:eastAsia="Times New Roman" w:cs="Calibri"/>
                <w:color w:val="262626"/>
                <w:sz w:val="24"/>
                <w:szCs w:val="24"/>
                <w:lang w:eastAsia="en-AU"/>
              </w:rPr>
              <w:instrText xml:space="preserve"> FORMTEXT </w:instrText>
            </w:r>
            <w:r>
              <w:rPr>
                <w:rFonts w:ascii="Calibri" w:hAnsi="Calibri" w:eastAsia="Times New Roman" w:cs="Calibri"/>
                <w:color w:val="262626"/>
                <w:sz w:val="24"/>
                <w:szCs w:val="24"/>
                <w:lang w:eastAsia="en-AU"/>
              </w:rPr>
              <w:fldChar w:fldCharType="separate"/>
            </w:r>
            <w:r>
              <w:rPr>
                <w:rFonts w:hint="eastAsia" w:ascii="Calibri" w:hAnsi="Calibri" w:eastAsia="Times New Roman" w:cs="Calibri"/>
                <w:color w:val="262626"/>
                <w:sz w:val="24"/>
                <w:szCs w:val="24"/>
                <w:lang w:eastAsia="en-AU"/>
              </w:rPr>
              <w:t>1.Listen to the concerns of workers and their representatives.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2.Review and analyse workplace hazards and incident reporting data.</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3.Identify existing and potential hazards and determine their underlying cause.</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4.Review how effective hazard controls that were previously implemented were.</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5.Identify areas which need special attention due to the nature of work carried out.</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6.Identify areas which need attention where data shows signs of stress, wear, impact, vibration, heat, corrosion, chemical reaction or misuse.</w:t>
            </w:r>
          </w:p>
          <w:p>
            <w:pPr>
              <w:pStyle w:val="24"/>
              <w:tabs>
                <w:tab w:val="left" w:pos="180"/>
              </w:tabs>
              <w:spacing w:after="120" w:line="276" w:lineRule="auto"/>
              <w:ind w:left="795" w:right="0" w:firstLine="0"/>
              <w:contextualSpacing w:val="0"/>
              <w:jc w:val="both"/>
              <w:rPr>
                <w:rFonts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The entire workplace area should be included in the inspection. This includes parking lots, building access, rest areas, storage and amenities</w:t>
            </w:r>
            <w:r>
              <w:rPr>
                <w:rFonts w:ascii="Calibri" w:hAnsi="Calibri" w:eastAsia="Times New Roman" w:cs="Calibri"/>
                <w:color w:val="262626"/>
                <w:sz w:val="24"/>
                <w:szCs w:val="24"/>
                <w:lang w:eastAsia="en-AU"/>
              </w:rPr>
              <w:t>  </w:t>
            </w:r>
            <w:r>
              <w:rPr>
                <w:rFonts w:ascii="Calibri" w:hAnsi="Calibri" w:eastAsia="Times New Roman" w:cs="Calibri"/>
                <w:color w:val="262626"/>
                <w:sz w:val="24"/>
                <w:szCs w:val="24"/>
                <w:lang w:eastAsia="en-AU"/>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7"/>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xml:space="preserve">Outline the process for WHS audits followed in your organisation. </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fldChar w:fldCharType="begin">
                <w:ffData>
                  <w:name w:val="Text1"/>
                  <w:enabled/>
                  <w:calcOnExit w:val="0"/>
                  <w:textInput/>
                </w:ffData>
              </w:fldChar>
            </w:r>
            <w:r>
              <w:rPr>
                <w:rFonts w:ascii="Calibri" w:hAnsi="Calibri" w:eastAsia="Times New Roman" w:cs="Calibri"/>
                <w:color w:val="262626"/>
                <w:sz w:val="24"/>
                <w:szCs w:val="24"/>
                <w:lang w:eastAsia="en-AU"/>
              </w:rPr>
              <w:instrText xml:space="preserve"> FORMTEXT </w:instrText>
            </w:r>
            <w:r>
              <w:rPr>
                <w:rFonts w:ascii="Calibri" w:hAnsi="Calibri" w:eastAsia="Times New Roman" w:cs="Calibri"/>
                <w:color w:val="262626"/>
                <w:sz w:val="24"/>
                <w:szCs w:val="24"/>
                <w:lang w:eastAsia="en-AU"/>
              </w:rPr>
              <w:fldChar w:fldCharType="separate"/>
            </w:r>
            <w:r>
              <w:rPr>
                <w:rFonts w:ascii="Calibri" w:hAnsi="Calibri" w:eastAsia="Times New Roman" w:cs="Calibri"/>
                <w:color w:val="262626"/>
                <w:sz w:val="24"/>
                <w:szCs w:val="24"/>
                <w:lang w:eastAsia="en-AU"/>
              </w:rPr>
              <w:t> </w:t>
            </w:r>
            <w:r>
              <w:rPr>
                <w:rFonts w:ascii="Calibri" w:hAnsi="Calibri" w:eastAsia="Times New Roman" w:cs="Calibri"/>
                <w:color w:val="262626"/>
                <w:sz w:val="24"/>
                <w:szCs w:val="24"/>
                <w:lang w:eastAsia="en-AU"/>
              </w:rPr>
              <w:fldChar w:fldCharType="begin">
                <w:ffData>
                  <w:name w:val="Text1"/>
                  <w:enabled/>
                  <w:calcOnExit w:val="0"/>
                  <w:textInput/>
                </w:ffData>
              </w:fldChar>
            </w:r>
            <w:r>
              <w:rPr>
                <w:rFonts w:ascii="Calibri" w:hAnsi="Calibri" w:eastAsia="Times New Roman" w:cs="Calibri"/>
                <w:color w:val="262626"/>
                <w:sz w:val="24"/>
                <w:szCs w:val="24"/>
                <w:lang w:eastAsia="en-AU"/>
              </w:rPr>
              <w:instrText xml:space="preserve"> FORMTEXT </w:instrText>
            </w:r>
            <w:r>
              <w:rPr>
                <w:rFonts w:ascii="Calibri" w:hAnsi="Calibri" w:eastAsia="Times New Roman" w:cs="Calibri"/>
                <w:color w:val="262626"/>
                <w:sz w:val="24"/>
                <w:szCs w:val="24"/>
                <w:lang w:eastAsia="en-AU"/>
              </w:rPr>
              <w:fldChar w:fldCharType="separate"/>
            </w:r>
            <w:r>
              <w:rPr>
                <w:rFonts w:ascii="Calibri" w:hAnsi="Calibri" w:eastAsia="Times New Roman" w:cs="Calibri"/>
                <w:color w:val="262626"/>
                <w:sz w:val="24"/>
                <w:szCs w:val="24"/>
                <w:lang w:eastAsia="en-AU"/>
              </w:rPr>
              <w:t>  </w:t>
            </w:r>
            <w:r>
              <w:rPr>
                <w:rFonts w:hint="eastAsia" w:ascii="Calibri" w:hAnsi="Calibri" w:eastAsia="Times New Roman" w:cs="Calibri"/>
                <w:color w:val="262626"/>
                <w:sz w:val="24"/>
                <w:szCs w:val="24"/>
                <w:lang w:eastAsia="en-AU"/>
              </w:rPr>
              <w:t>1 Identify the Areas the Audit Will Cover</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w:t>
            </w:r>
            <w:r>
              <w:rPr>
                <w:rFonts w:hint="eastAsia" w:ascii="Calibri" w:hAnsi="Calibri" w:eastAsia="Times New Roman" w:cs="Calibri"/>
                <w:color w:val="262626"/>
                <w:sz w:val="24"/>
                <w:szCs w:val="24"/>
                <w:lang w:eastAsia="en-AU"/>
              </w:rPr>
              <w:t xml:space="preserve">2 Who Will Conduct the Audit </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w:t>
            </w:r>
            <w:r>
              <w:rPr>
                <w:rFonts w:ascii="Calibri" w:hAnsi="Calibri" w:eastAsia="Times New Roman" w:cs="Calibri"/>
                <w:color w:val="262626"/>
                <w:sz w:val="24"/>
                <w:szCs w:val="24"/>
                <w:lang w:eastAsia="en-AU"/>
              </w:rPr>
              <w:fldChar w:fldCharType="end"/>
            </w:r>
            <w:r>
              <w:rPr>
                <w:rFonts w:hint="eastAsia" w:ascii="Calibri" w:hAnsi="Calibri" w:eastAsia="Times New Roman" w:cs="Calibri"/>
                <w:color w:val="262626"/>
                <w:sz w:val="24"/>
                <w:szCs w:val="24"/>
                <w:lang w:eastAsia="en-AU"/>
              </w:rPr>
              <w:t>3 Hazard Identification</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4 Policies and Procedures Meet Requirements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 xml:space="preserve">5 Reporting Audit Results </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6 Implement Work Health and Safety Procedures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7 Safety Training for Internal Managers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w:t>
            </w:r>
            <w:r>
              <w:rPr>
                <w:rFonts w:hint="eastAsia" w:ascii="Calibri" w:hAnsi="Calibri" w:eastAsia="Times New Roman" w:cs="Calibri"/>
                <w:color w:val="262626"/>
                <w:sz w:val="24"/>
                <w:szCs w:val="24"/>
                <w:lang w:eastAsia="en-AU"/>
              </w:rPr>
              <w:t xml:space="preserve"> </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w:t>
            </w:r>
            <w:r>
              <w:rPr>
                <w:rFonts w:ascii="Calibri" w:hAnsi="Calibri" w:eastAsia="Times New Roman" w:cs="Calibri"/>
                <w:color w:val="262626"/>
                <w:sz w:val="24"/>
                <w:szCs w:val="24"/>
                <w:lang w:eastAsia="en-AU"/>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7"/>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Outline the process for incident investigations followed in your organisation.</w:t>
            </w:r>
          </w:p>
          <w:p>
            <w:pPr>
              <w:pStyle w:val="24"/>
              <w:tabs>
                <w:tab w:val="left" w:pos="180"/>
              </w:tabs>
              <w:spacing w:after="120" w:line="276" w:lineRule="auto"/>
              <w:ind w:left="795" w:right="0" w:firstLine="0"/>
              <w:contextualSpacing w:val="0"/>
              <w:jc w:val="both"/>
              <w:rPr>
                <w:rFonts w:cstheme="minorHAnsi"/>
                <w:color w:val="252525" w:themeColor="text1" w:themeTint="D9"/>
                <w:sz w:val="22"/>
              </w:rPr>
            </w:pPr>
            <w:r>
              <w:rPr>
                <w:rFonts w:cstheme="minorHAnsi"/>
                <w:color w:val="252525" w:themeColor="text1" w:themeTint="D9"/>
                <w:sz w:val="24"/>
              </w:rPr>
              <w:fldChar w:fldCharType="begin">
                <w:ffData>
                  <w:name w:val="Text1"/>
                  <w:enabled/>
                  <w:calcOnExit w:val="0"/>
                  <w:textInput/>
                </w:ffData>
              </w:fldChar>
            </w:r>
            <w:r>
              <w:rPr>
                <w:rFonts w:cstheme="minorHAnsi"/>
                <w:color w:val="252525" w:themeColor="text1" w:themeTint="D9"/>
                <w:sz w:val="24"/>
              </w:rPr>
              <w:instrText xml:space="preserve"> FORMTEXT </w:instrText>
            </w:r>
            <w:r>
              <w:rPr>
                <w:rFonts w:cstheme="minorHAnsi"/>
                <w:color w:val="252525" w:themeColor="text1" w:themeTint="D9"/>
                <w:sz w:val="24"/>
              </w:rPr>
              <w:fldChar w:fldCharType="separate"/>
            </w:r>
            <w:r>
              <w:rPr>
                <w:rFonts w:cstheme="minorHAnsi"/>
                <w:color w:val="252525" w:themeColor="text1" w:themeTint="D9"/>
                <w:sz w:val="24"/>
              </w:rPr>
              <w:t>  </w:t>
            </w:r>
            <w:r>
              <w:rPr>
                <w:rFonts w:hint="eastAsia" w:cstheme="minorHAnsi"/>
                <w:color w:val="252525" w:themeColor="text1" w:themeTint="D9"/>
                <w:sz w:val="24"/>
              </w:rPr>
              <w:t>An effective incident investigation process involves four key steps: incident description, identification of causes, identification of changes to the organisation and work processes, and learning.</w:t>
            </w:r>
            <w:r>
              <w:rPr>
                <w:rFonts w:cstheme="minorHAnsi"/>
                <w:color w:val="252525" w:themeColor="text1" w:themeTint="D9"/>
                <w:sz w:val="24"/>
              </w:rPr>
              <w:t>   </w:t>
            </w:r>
            <w:r>
              <w:rPr>
                <w:rFonts w:cstheme="minorHAnsi"/>
                <w:color w:val="252525" w:themeColor="text1" w:themeTint="D9"/>
                <w:sz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0"/>
              </w:numPr>
              <w:spacing w:after="120" w:line="276" w:lineRule="auto"/>
              <w:ind w:left="746" w:right="0" w:hanging="386"/>
              <w:contextualSpacing w:val="0"/>
              <w:jc w:val="both"/>
              <w:rPr>
                <w:rFonts w:cstheme="minorHAnsi"/>
                <w:color w:val="252525" w:themeColor="text1" w:themeTint="D9"/>
                <w:sz w:val="24"/>
                <w:szCs w:val="24"/>
              </w:rPr>
            </w:pPr>
            <w:r>
              <w:rPr>
                <w:rFonts w:cstheme="minorHAnsi"/>
                <w:color w:val="252525" w:themeColor="text1" w:themeTint="D9"/>
                <w:sz w:val="24"/>
                <w:szCs w:val="24"/>
              </w:rPr>
              <w:t>Access and review policies and procedures in your organisation relevant to the following:</w:t>
            </w:r>
          </w:p>
          <w:p>
            <w:pPr>
              <w:pStyle w:val="24"/>
              <w:numPr>
                <w:ilvl w:val="0"/>
                <w:numId w:val="38"/>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Emergency procedures</w:t>
            </w:r>
          </w:p>
          <w:p>
            <w:pPr>
              <w:pStyle w:val="24"/>
              <w:numPr>
                <w:ilvl w:val="0"/>
                <w:numId w:val="38"/>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First aid procedures</w:t>
            </w:r>
          </w:p>
          <w:p>
            <w:pPr>
              <w:pStyle w:val="24"/>
              <w:numPr>
                <w:ilvl w:val="0"/>
                <w:numId w:val="38"/>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Evacuation procedures</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based on the policies and procedures you have reviewed.</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the policies and procedures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9"/>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Outline the emergency response procedure for fires applicable to the construction site you are working on.</w:t>
            </w:r>
          </w:p>
          <w:p>
            <w:pPr>
              <w:pStyle w:val="24"/>
              <w:tabs>
                <w:tab w:val="left" w:pos="180"/>
              </w:tabs>
              <w:spacing w:after="120" w:line="276" w:lineRule="auto"/>
              <w:ind w:left="795" w:right="0" w:firstLine="0"/>
              <w:contextualSpacing w:val="0"/>
              <w:jc w:val="both"/>
              <w:rPr>
                <w:rFonts w:hint="eastAsia" w:ascii="Calibri" w:hAnsi="Calibri" w:eastAsia="宋体" w:cs="Calibri"/>
                <w:color w:val="262626"/>
                <w:sz w:val="24"/>
                <w:szCs w:val="24"/>
                <w:lang w:val="en-US" w:eastAsia="zh-CN"/>
              </w:rPr>
            </w:pPr>
            <w:r>
              <w:rPr>
                <w:rFonts w:ascii="Calibri" w:hAnsi="Calibri" w:eastAsia="Times New Roman" w:cs="Calibri"/>
                <w:color w:val="262626"/>
                <w:sz w:val="24"/>
                <w:szCs w:val="24"/>
                <w:lang w:eastAsia="en-AU"/>
              </w:rPr>
              <w:fldChar w:fldCharType="begin">
                <w:ffData>
                  <w:name w:val="Text1"/>
                  <w:enabled/>
                  <w:calcOnExit w:val="0"/>
                  <w:textInput/>
                </w:ffData>
              </w:fldChar>
            </w:r>
            <w:r>
              <w:rPr>
                <w:rFonts w:ascii="Calibri" w:hAnsi="Calibri" w:eastAsia="Times New Roman" w:cs="Calibri"/>
                <w:color w:val="262626"/>
                <w:sz w:val="24"/>
                <w:szCs w:val="24"/>
                <w:lang w:eastAsia="en-AU"/>
              </w:rPr>
              <w:instrText xml:space="preserve"> FORMTEXT </w:instrText>
            </w:r>
            <w:r>
              <w:rPr>
                <w:rFonts w:ascii="Calibri" w:hAnsi="Calibri" w:eastAsia="Times New Roman" w:cs="Calibri"/>
                <w:color w:val="262626"/>
                <w:sz w:val="24"/>
                <w:szCs w:val="24"/>
                <w:lang w:eastAsia="en-AU"/>
              </w:rPr>
              <w:fldChar w:fldCharType="separate"/>
            </w:r>
            <w:r>
              <w:rPr>
                <w:rFonts w:ascii="Calibri" w:hAnsi="Calibri" w:eastAsia="Times New Roman" w:cs="Calibri"/>
                <w:color w:val="262626"/>
                <w:sz w:val="24"/>
                <w:szCs w:val="24"/>
                <w:lang w:eastAsia="en-AU"/>
              </w:rPr>
              <w:t> </w:t>
            </w:r>
            <w:r>
              <w:rPr>
                <w:rFonts w:hint="eastAsia" w:ascii="Calibri" w:hAnsi="Calibri" w:eastAsia="宋体" w:cs="Calibri"/>
                <w:color w:val="262626"/>
                <w:sz w:val="24"/>
                <w:szCs w:val="24"/>
                <w:lang w:val="en-US" w:eastAsia="zh-CN"/>
              </w:rPr>
              <w:t>1 Mitigation</w:t>
            </w:r>
          </w:p>
          <w:p>
            <w:pPr>
              <w:pStyle w:val="24"/>
              <w:tabs>
                <w:tab w:val="left" w:pos="180"/>
              </w:tabs>
              <w:spacing w:after="120" w:line="276" w:lineRule="auto"/>
              <w:ind w:left="795" w:right="0" w:firstLine="0"/>
              <w:contextualSpacing w:val="0"/>
              <w:jc w:val="both"/>
              <w:rPr>
                <w:rFonts w:hint="eastAsia" w:ascii="Calibri" w:hAnsi="Calibri" w:eastAsia="宋体" w:cs="Calibri"/>
                <w:color w:val="262626"/>
                <w:sz w:val="24"/>
                <w:szCs w:val="24"/>
                <w:lang w:val="en-US" w:eastAsia="zh-CN"/>
              </w:rPr>
            </w:pPr>
            <w:r>
              <w:rPr>
                <w:rFonts w:hint="eastAsia" w:ascii="Calibri" w:hAnsi="Calibri" w:eastAsia="宋体" w:cs="Calibri"/>
                <w:color w:val="262626"/>
                <w:sz w:val="24"/>
                <w:szCs w:val="24"/>
                <w:lang w:val="en-US" w:eastAsia="zh-CN"/>
              </w:rPr>
              <w:t>Preventing future emergencies or minimizing their effects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 </w:t>
            </w:r>
            <w:r>
              <w:rPr>
                <w:rFonts w:hint="eastAsia" w:ascii="Calibri" w:hAnsi="Calibri" w:eastAsia="宋体" w:cs="Calibri"/>
                <w:color w:val="262626"/>
                <w:sz w:val="24"/>
                <w:szCs w:val="24"/>
                <w:lang w:val="en-US" w:eastAsia="zh-CN"/>
              </w:rPr>
              <w:t xml:space="preserve">2 </w:t>
            </w:r>
            <w:r>
              <w:rPr>
                <w:rFonts w:ascii="Calibri" w:hAnsi="Calibri" w:eastAsia="Times New Roman" w:cs="Calibri"/>
                <w:color w:val="262626"/>
                <w:sz w:val="24"/>
                <w:szCs w:val="24"/>
                <w:lang w:eastAsia="en-AU"/>
              </w:rPr>
              <w:t> </w:t>
            </w:r>
            <w:r>
              <w:rPr>
                <w:rFonts w:hint="eastAsia" w:ascii="Calibri" w:hAnsi="Calibri" w:eastAsia="Times New Roman" w:cs="Calibri"/>
                <w:color w:val="262626"/>
                <w:sz w:val="24"/>
                <w:szCs w:val="24"/>
                <w:lang w:eastAsia="en-AU"/>
              </w:rPr>
              <w:t>Preparedness</w:t>
            </w:r>
          </w:p>
          <w:p>
            <w:pPr>
              <w:pStyle w:val="24"/>
              <w:tabs>
                <w:tab w:val="left" w:pos="180"/>
              </w:tabs>
              <w:spacing w:after="120" w:line="276" w:lineRule="auto"/>
              <w:ind w:left="795" w:right="0" w:firstLine="0"/>
              <w:contextualSpacing w:val="0"/>
              <w:jc w:val="both"/>
              <w:rPr>
                <w:rFonts w:hint="eastAsia" w:ascii="Calibri" w:hAnsi="Calibri" w:eastAsia="Times New Roman" w:cs="Calibri"/>
                <w:color w:val="262626"/>
                <w:sz w:val="24"/>
                <w:szCs w:val="24"/>
                <w:lang w:eastAsia="en-AU"/>
              </w:rPr>
            </w:pPr>
            <w:r>
              <w:rPr>
                <w:rFonts w:hint="eastAsia" w:ascii="Calibri" w:hAnsi="Calibri" w:eastAsia="Times New Roman" w:cs="Calibri"/>
                <w:color w:val="262626"/>
                <w:sz w:val="24"/>
                <w:szCs w:val="24"/>
                <w:lang w:eastAsia="en-AU"/>
              </w:rPr>
              <w:t>Preparing to handle an emergency</w:t>
            </w:r>
          </w:p>
          <w:p>
            <w:pPr>
              <w:pStyle w:val="24"/>
              <w:tabs>
                <w:tab w:val="left" w:pos="180"/>
              </w:tabs>
              <w:spacing w:after="120" w:line="276" w:lineRule="auto"/>
              <w:ind w:left="795" w:right="0" w:firstLine="0"/>
              <w:contextualSpacing w:val="0"/>
              <w:jc w:val="both"/>
              <w:rPr>
                <w:rFonts w:hint="eastAsia" w:ascii="Calibri" w:hAnsi="Calibri" w:eastAsia="宋体" w:cs="Calibri"/>
                <w:color w:val="262626"/>
                <w:sz w:val="24"/>
                <w:szCs w:val="24"/>
                <w:lang w:val="en-US" w:eastAsia="zh-CN"/>
              </w:rPr>
            </w:pPr>
            <w:r>
              <w:rPr>
                <w:rFonts w:hint="eastAsia" w:ascii="Calibri" w:hAnsi="Calibri" w:eastAsia="宋体" w:cs="Calibri"/>
                <w:color w:val="262626"/>
                <w:sz w:val="24"/>
                <w:szCs w:val="24"/>
                <w:lang w:val="en-US" w:eastAsia="zh-CN"/>
              </w:rPr>
              <w:t>3  Response</w:t>
            </w:r>
          </w:p>
          <w:p>
            <w:pPr>
              <w:pStyle w:val="24"/>
              <w:tabs>
                <w:tab w:val="left" w:pos="180"/>
              </w:tabs>
              <w:spacing w:after="120" w:line="276" w:lineRule="auto"/>
              <w:ind w:left="795" w:right="0" w:firstLine="0"/>
              <w:contextualSpacing w:val="0"/>
              <w:jc w:val="both"/>
              <w:rPr>
                <w:rFonts w:hint="eastAsia" w:ascii="Calibri" w:hAnsi="Calibri" w:eastAsia="宋体" w:cs="Calibri"/>
                <w:color w:val="262626"/>
                <w:sz w:val="24"/>
                <w:szCs w:val="24"/>
                <w:lang w:val="en-US" w:eastAsia="zh-CN"/>
              </w:rPr>
            </w:pPr>
            <w:r>
              <w:rPr>
                <w:rFonts w:hint="eastAsia" w:ascii="Calibri" w:hAnsi="Calibri" w:eastAsia="宋体" w:cs="Calibri"/>
                <w:color w:val="262626"/>
                <w:sz w:val="24"/>
                <w:szCs w:val="24"/>
                <w:lang w:val="en-US" w:eastAsia="zh-CN"/>
              </w:rPr>
              <w:t>Responding safely to an emergency</w:t>
            </w:r>
          </w:p>
          <w:p>
            <w:pPr>
              <w:pStyle w:val="24"/>
              <w:tabs>
                <w:tab w:val="left" w:pos="180"/>
              </w:tabs>
              <w:spacing w:after="120" w:line="276" w:lineRule="auto"/>
              <w:ind w:left="795" w:right="0" w:firstLine="0"/>
              <w:contextualSpacing w:val="0"/>
              <w:jc w:val="both"/>
              <w:rPr>
                <w:rFonts w:hint="eastAsia" w:ascii="Calibri" w:hAnsi="Calibri" w:eastAsia="宋体" w:cs="Calibri"/>
                <w:color w:val="262626"/>
                <w:sz w:val="24"/>
                <w:szCs w:val="24"/>
                <w:lang w:val="en-US" w:eastAsia="zh-CN"/>
              </w:rPr>
            </w:pPr>
            <w:r>
              <w:rPr>
                <w:rFonts w:ascii="Calibri" w:hAnsi="Calibri" w:eastAsia="Times New Roman" w:cs="Calibri"/>
                <w:color w:val="262626"/>
                <w:sz w:val="24"/>
                <w:szCs w:val="24"/>
                <w:lang w:eastAsia="en-AU"/>
              </w:rPr>
              <w:t> </w:t>
            </w:r>
            <w:r>
              <w:rPr>
                <w:rFonts w:hint="eastAsia" w:ascii="Calibri" w:hAnsi="Calibri" w:eastAsia="宋体" w:cs="Calibri"/>
                <w:color w:val="262626"/>
                <w:sz w:val="24"/>
                <w:szCs w:val="24"/>
                <w:lang w:val="en-US" w:eastAsia="zh-CN"/>
              </w:rPr>
              <w:t>4Recovery</w:t>
            </w:r>
          </w:p>
          <w:p>
            <w:pPr>
              <w:pStyle w:val="24"/>
              <w:tabs>
                <w:tab w:val="left" w:pos="180"/>
              </w:tabs>
              <w:spacing w:after="120" w:line="276" w:lineRule="auto"/>
              <w:ind w:left="795" w:right="0" w:firstLine="0"/>
              <w:contextualSpacing w:val="0"/>
              <w:jc w:val="both"/>
              <w:rPr>
                <w:rFonts w:ascii="Calibri" w:hAnsi="Calibri" w:eastAsia="Times New Roman" w:cs="Calibri"/>
                <w:color w:val="262626"/>
                <w:sz w:val="24"/>
                <w:szCs w:val="24"/>
                <w:lang w:eastAsia="en-AU"/>
              </w:rPr>
            </w:pPr>
            <w:r>
              <w:rPr>
                <w:rFonts w:hint="eastAsia" w:ascii="Calibri" w:hAnsi="Calibri" w:eastAsia="宋体" w:cs="Calibri"/>
                <w:color w:val="262626"/>
                <w:sz w:val="24"/>
                <w:szCs w:val="24"/>
                <w:lang w:val="en-US" w:eastAsia="zh-CN"/>
              </w:rPr>
              <w:t>Recovering from an emergency</w:t>
            </w:r>
            <w:r>
              <w:rPr>
                <w:rFonts w:ascii="Calibri" w:hAnsi="Calibri" w:eastAsia="Times New Roman" w:cs="Calibri"/>
                <w:color w:val="262626"/>
                <w:sz w:val="24"/>
                <w:szCs w:val="24"/>
                <w:lang w:eastAsia="en-AU"/>
              </w:rPr>
              <w:t> </w:t>
            </w:r>
            <w:r>
              <w:rPr>
                <w:rFonts w:ascii="Calibri" w:hAnsi="Calibri" w:eastAsia="Times New Roman" w:cs="Calibri"/>
                <w:color w:val="262626"/>
                <w:sz w:val="24"/>
                <w:szCs w:val="24"/>
                <w:lang w:eastAsia="en-AU"/>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402"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9"/>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Outline the general first aid procedure followed in your organisation.</w:t>
            </w:r>
          </w:p>
          <w:p>
            <w:pPr>
              <w:pStyle w:val="24"/>
              <w:tabs>
                <w:tab w:val="left" w:pos="180"/>
              </w:tabs>
              <w:spacing w:after="120" w:line="276" w:lineRule="auto"/>
              <w:ind w:left="795" w:right="0" w:firstLine="0"/>
              <w:contextualSpacing w:val="0"/>
              <w:jc w:val="both"/>
              <w:rPr>
                <w:rFonts w:cstheme="minorHAnsi"/>
                <w:color w:val="252525" w:themeColor="text1" w:themeTint="D9"/>
                <w:sz w:val="22"/>
              </w:rPr>
            </w:pPr>
            <w:r>
              <w:rPr>
                <w:rFonts w:cstheme="minorHAnsi"/>
                <w:color w:val="252525" w:themeColor="text1" w:themeTint="D9"/>
                <w:sz w:val="24"/>
              </w:rPr>
              <w:fldChar w:fldCharType="begin">
                <w:ffData>
                  <w:name w:val="Text1"/>
                  <w:enabled/>
                  <w:calcOnExit w:val="0"/>
                  <w:textInput/>
                </w:ffData>
              </w:fldChar>
            </w:r>
            <w:r>
              <w:rPr>
                <w:rFonts w:cstheme="minorHAnsi"/>
                <w:color w:val="252525" w:themeColor="text1" w:themeTint="D9"/>
                <w:sz w:val="24"/>
              </w:rPr>
              <w:instrText xml:space="preserve"> FORMTEXT </w:instrText>
            </w:r>
            <w:r>
              <w:rPr>
                <w:rFonts w:cstheme="minorHAnsi"/>
                <w:color w:val="252525" w:themeColor="text1" w:themeTint="D9"/>
                <w:sz w:val="24"/>
              </w:rPr>
              <w:fldChar w:fldCharType="separate"/>
            </w:r>
            <w:r>
              <w:rPr>
                <w:rFonts w:cstheme="minorHAnsi"/>
                <w:color w:val="252525" w:themeColor="text1" w:themeTint="D9"/>
                <w:sz w:val="24"/>
              </w:rPr>
              <w:t>  </w:t>
            </w:r>
            <w:r>
              <w:rPr>
                <w:rFonts w:hint="eastAsia" w:cstheme="minorHAnsi"/>
                <w:color w:val="252525" w:themeColor="text1" w:themeTint="D9"/>
                <w:sz w:val="24"/>
              </w:rPr>
              <w:t>DRABC is an acronym to describe the procedures used by first aiders when providing first aid: D for Danger – Assess the situation. R for Response – Check consciousness, check on vital signs. A for Airway – Open airway.</w:t>
            </w:r>
            <w:r>
              <w:rPr>
                <w:rFonts w:cstheme="minorHAnsi"/>
                <w:color w:val="252525" w:themeColor="text1" w:themeTint="D9"/>
                <w:sz w:val="24"/>
              </w:rPr>
              <w:t>   </w:t>
            </w:r>
            <w:r>
              <w:rPr>
                <w:rFonts w:cstheme="minorHAnsi"/>
                <w:color w:val="252525" w:themeColor="text1" w:themeTint="D9"/>
                <w:sz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39"/>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According to the evacuation procedure followed in your organisation, where should people on the project worksite evacuate to in the event of an emergency?</w:t>
            </w:r>
          </w:p>
          <w:p>
            <w:pPr>
              <w:pStyle w:val="24"/>
              <w:tabs>
                <w:tab w:val="left" w:pos="180"/>
              </w:tabs>
              <w:spacing w:after="120" w:line="276" w:lineRule="auto"/>
              <w:ind w:left="795" w:right="0" w:firstLine="0"/>
              <w:contextualSpacing w:val="0"/>
              <w:jc w:val="both"/>
              <w:rPr>
                <w:rFonts w:hint="eastAsia"/>
                <w:color w:val="0C0C0C" w:themeColor="text1" w:themeTint="F2"/>
                <w:sz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color w:val="0C0C0C" w:themeColor="text1" w:themeTint="F2"/>
                <w:sz w:val="24"/>
              </w:rPr>
              <w:t>Exits and handicapped accessible routes.</w:t>
            </w:r>
          </w:p>
          <w:p>
            <w:pPr>
              <w:pStyle w:val="24"/>
              <w:tabs>
                <w:tab w:val="left" w:pos="180"/>
              </w:tabs>
              <w:spacing w:after="120" w:line="276" w:lineRule="auto"/>
              <w:ind w:left="795" w:right="0" w:firstLine="0"/>
              <w:contextualSpacing w:val="0"/>
              <w:jc w:val="both"/>
              <w:rPr>
                <w:rFonts w:hint="eastAsia"/>
                <w:color w:val="0C0C0C" w:themeColor="text1" w:themeTint="F2"/>
                <w:sz w:val="24"/>
              </w:rPr>
            </w:pPr>
            <w:r>
              <w:rPr>
                <w:rFonts w:hint="eastAsia"/>
                <w:color w:val="0C0C0C" w:themeColor="text1" w:themeTint="F2"/>
                <w:sz w:val="24"/>
              </w:rPr>
              <w:t>Exit routs and alternatives.</w:t>
            </w:r>
          </w:p>
          <w:p>
            <w:pPr>
              <w:pStyle w:val="24"/>
              <w:tabs>
                <w:tab w:val="left" w:pos="180"/>
              </w:tabs>
              <w:spacing w:after="120" w:line="276" w:lineRule="auto"/>
              <w:ind w:left="795" w:right="0" w:firstLine="0"/>
              <w:contextualSpacing w:val="0"/>
              <w:jc w:val="both"/>
              <w:rPr>
                <w:rFonts w:hint="eastAsia"/>
                <w:color w:val="0C0C0C" w:themeColor="text1" w:themeTint="F2"/>
                <w:sz w:val="24"/>
              </w:rPr>
            </w:pPr>
            <w:r>
              <w:rPr>
                <w:rFonts w:hint="eastAsia"/>
                <w:color w:val="0C0C0C" w:themeColor="text1" w:themeTint="F2"/>
                <w:sz w:val="24"/>
              </w:rPr>
              <w:t>Location of fire extinguishers and other emergency equipment such as AEDs, PPE, first aid, and oxygen tanks.</w:t>
            </w:r>
          </w:p>
          <w:p>
            <w:pPr>
              <w:pStyle w:val="24"/>
              <w:tabs>
                <w:tab w:val="left" w:pos="180"/>
              </w:tabs>
              <w:spacing w:after="120" w:line="276" w:lineRule="auto"/>
              <w:ind w:left="795" w:right="0" w:firstLine="0"/>
              <w:contextualSpacing w:val="0"/>
              <w:jc w:val="both"/>
              <w:rPr>
                <w:rFonts w:hint="eastAsia"/>
                <w:color w:val="0C0C0C" w:themeColor="text1" w:themeTint="F2"/>
                <w:sz w:val="24"/>
              </w:rPr>
            </w:pPr>
            <w:r>
              <w:rPr>
                <w:rFonts w:hint="eastAsia"/>
                <w:color w:val="0C0C0C" w:themeColor="text1" w:themeTint="F2"/>
                <w:sz w:val="24"/>
              </w:rPr>
              <w:t>Employee location, “you are here”</w:t>
            </w:r>
          </w:p>
          <w:p>
            <w:pPr>
              <w:pStyle w:val="24"/>
              <w:tabs>
                <w:tab w:val="left" w:pos="180"/>
              </w:tabs>
              <w:spacing w:after="120" w:line="276" w:lineRule="auto"/>
              <w:ind w:right="0"/>
              <w:contextualSpacing w:val="0"/>
              <w:jc w:val="both"/>
              <w:rPr>
                <w:rFonts w:cstheme="minorHAnsi"/>
                <w:color w:val="252525" w:themeColor="text1" w:themeTint="D9"/>
                <w:sz w:val="24"/>
                <w:szCs w:val="24"/>
              </w:rPr>
            </w:pP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ind w:left="0" w:firstLine="0"/>
      </w:pPr>
      <w:r>
        <w:br w:type="page"/>
      </w: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4"/>
              <w:numPr>
                <w:ilvl w:val="0"/>
                <w:numId w:val="30"/>
              </w:numPr>
              <w:spacing w:after="120" w:line="276" w:lineRule="auto"/>
              <w:ind w:left="746" w:right="0" w:hanging="386"/>
              <w:contextualSpacing w:val="0"/>
              <w:jc w:val="both"/>
              <w:rPr>
                <w:rFonts w:cstheme="minorHAnsi"/>
                <w:color w:val="252525" w:themeColor="text1" w:themeTint="D9"/>
                <w:sz w:val="24"/>
                <w:szCs w:val="24"/>
              </w:rPr>
            </w:pPr>
            <w:r>
              <w:rPr>
                <w:rFonts w:cstheme="minorHAnsi"/>
                <w:color w:val="252525" w:themeColor="text1" w:themeTint="D9"/>
                <w:sz w:val="24"/>
                <w:szCs w:val="24"/>
              </w:rPr>
              <w:t>Access and review documents in your organisation relevant to the following practices:</w:t>
            </w:r>
          </w:p>
          <w:p>
            <w:pPr>
              <w:pStyle w:val="24"/>
              <w:numPr>
                <w:ilvl w:val="0"/>
                <w:numId w:val="40"/>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Waste management practices</w:t>
            </w:r>
          </w:p>
          <w:p>
            <w:pPr>
              <w:pStyle w:val="24"/>
              <w:numPr>
                <w:ilvl w:val="0"/>
                <w:numId w:val="40"/>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Environmental practices</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Answer the following questions based on the organisational documents you have reviewed.</w:t>
            </w:r>
          </w:p>
          <w:p>
            <w:pPr>
              <w:pStyle w:val="24"/>
              <w:spacing w:after="120" w:line="276" w:lineRule="auto"/>
              <w:ind w:left="746"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the organisational documents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52525" w:themeColor="text1" w:themeTint="D9"/>
                <w:sz w:val="24"/>
                <w:szCs w:val="24"/>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41"/>
              </w:numPr>
              <w:tabs>
                <w:tab w:val="left" w:pos="180"/>
              </w:tabs>
              <w:spacing w:after="120" w:line="276" w:lineRule="auto"/>
              <w:ind w:right="0"/>
              <w:contextualSpacing w:val="0"/>
              <w:jc w:val="both"/>
              <w:rPr>
                <w:rFonts w:ascii="Calibri" w:hAnsi="Calibri" w:eastAsia="Times New Roman" w:cs="Calibri"/>
                <w:color w:val="262626"/>
                <w:sz w:val="24"/>
                <w:szCs w:val="24"/>
                <w:lang w:eastAsia="en-AU"/>
              </w:rPr>
            </w:pPr>
            <w:r>
              <w:rPr>
                <w:rFonts w:ascii="Calibri" w:hAnsi="Calibri" w:eastAsia="Times New Roman" w:cs="Calibri"/>
                <w:color w:val="262626"/>
                <w:sz w:val="24"/>
                <w:szCs w:val="24"/>
                <w:lang w:eastAsia="en-AU"/>
              </w:rPr>
              <w:t>Briefly describe one waste management practice followed in your organisation.</w:t>
            </w:r>
          </w:p>
          <w:p>
            <w:pPr>
              <w:pStyle w:val="24"/>
              <w:tabs>
                <w:tab w:val="left" w:pos="180"/>
              </w:tabs>
              <w:spacing w:after="120" w:line="276" w:lineRule="auto"/>
              <w:ind w:left="795"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ALL the waste put in the right skip bin</w:t>
            </w:r>
            <w:r>
              <w:rPr>
                <w:color w:val="0C0C0C" w:themeColor="text1" w:themeTint="F2"/>
                <w:sz w:val="24"/>
              </w:rPr>
              <w:t>   </w:t>
            </w:r>
            <w:r>
              <w:rPr>
                <w:rFonts w:cstheme="minorHAnsi"/>
                <w:color w:val="252525" w:themeColor="text1" w:themeTint="D9"/>
                <w:sz w:val="24"/>
                <w:szCs w:val="24"/>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4"/>
              <w:numPr>
                <w:ilvl w:val="0"/>
                <w:numId w:val="41"/>
              </w:numPr>
              <w:tabs>
                <w:tab w:val="left" w:pos="180"/>
              </w:tabs>
              <w:spacing w:after="120" w:line="276" w:lineRule="auto"/>
              <w:ind w:right="0"/>
              <w:contextualSpacing w:val="0"/>
              <w:jc w:val="both"/>
              <w:rPr>
                <w:rFonts w:cstheme="minorHAnsi"/>
                <w:color w:val="auto"/>
                <w:sz w:val="24"/>
              </w:rPr>
            </w:pPr>
            <w:r>
              <w:rPr>
                <w:rFonts w:ascii="Calibri" w:hAnsi="Calibri" w:eastAsia="Times New Roman" w:cs="Calibri"/>
                <w:color w:val="auto"/>
                <w:sz w:val="24"/>
                <w:szCs w:val="24"/>
                <w:lang w:eastAsia="en-AU"/>
              </w:rPr>
              <w:t>Briefly describe one environmental practice followed in your organisation.</w:t>
            </w:r>
          </w:p>
          <w:p>
            <w:pPr>
              <w:pStyle w:val="24"/>
              <w:tabs>
                <w:tab w:val="left" w:pos="180"/>
              </w:tabs>
              <w:spacing w:after="120" w:line="276" w:lineRule="auto"/>
              <w:ind w:left="795" w:right="0" w:firstLine="0"/>
              <w:contextualSpacing w:val="0"/>
              <w:jc w:val="both"/>
              <w:rPr>
                <w:rFonts w:cstheme="minorHAnsi"/>
                <w:color w:val="252525" w:themeColor="text1" w:themeTint="D9"/>
                <w:sz w:val="24"/>
                <w:szCs w:val="24"/>
              </w:rPr>
            </w:pPr>
            <w:r>
              <w:rPr>
                <w:rFonts w:cstheme="minorHAnsi"/>
                <w:color w:val="252525" w:themeColor="text1" w:themeTint="D9"/>
                <w:sz w:val="24"/>
                <w:szCs w:val="24"/>
              </w:rPr>
              <w:fldChar w:fldCharType="begin">
                <w:ffData>
                  <w:name w:val="Text1"/>
                  <w:enabled/>
                  <w:calcOnExit w:val="0"/>
                  <w:textInput/>
                </w:ffData>
              </w:fldChar>
            </w:r>
            <w:r>
              <w:rPr>
                <w:rFonts w:cstheme="minorHAnsi"/>
                <w:color w:val="252525" w:themeColor="text1" w:themeTint="D9"/>
                <w:sz w:val="24"/>
                <w:szCs w:val="24"/>
              </w:rPr>
              <w:instrText xml:space="preserve"> FORMTEXT </w:instrText>
            </w:r>
            <w:r>
              <w:rPr>
                <w:rFonts w:cstheme="minorHAnsi"/>
                <w:color w:val="252525" w:themeColor="text1" w:themeTint="D9"/>
                <w:sz w:val="24"/>
                <w:szCs w:val="24"/>
              </w:rPr>
              <w:fldChar w:fldCharType="separate"/>
            </w:r>
            <w:r>
              <w:rPr>
                <w:color w:val="0C0C0C" w:themeColor="text1" w:themeTint="F2"/>
                <w:sz w:val="24"/>
              </w:rPr>
              <w:t>  </w:t>
            </w:r>
            <w:r>
              <w:rPr>
                <w:rFonts w:hint="eastAsia" w:eastAsia="宋体"/>
                <w:color w:val="0C0C0C" w:themeColor="text1" w:themeTint="F2"/>
                <w:sz w:val="24"/>
                <w:lang w:val="en-US" w:eastAsia="zh-CN"/>
              </w:rPr>
              <w:t>all the recycle material leave in the recycle bin</w:t>
            </w:r>
            <w:r>
              <w:rPr>
                <w:color w:val="0C0C0C" w:themeColor="text1" w:themeTint="F2"/>
                <w:sz w:val="24"/>
              </w:rPr>
              <w:t>   </w:t>
            </w:r>
            <w:r>
              <w:rPr>
                <w:rFonts w:cstheme="minorHAnsi"/>
                <w:color w:val="252525" w:themeColor="text1" w:themeTint="D9"/>
                <w:sz w:val="24"/>
                <w:szCs w:val="24"/>
              </w:rPr>
              <w:fldChar w:fldCharType="end"/>
            </w:r>
          </w:p>
        </w:tc>
      </w:tr>
    </w:tbl>
    <w:p>
      <w:pPr>
        <w:spacing w:after="120" w:line="276" w:lineRule="auto"/>
      </w:pPr>
      <w:r>
        <w:br w:type="page"/>
      </w:r>
    </w:p>
    <w:p>
      <w:pPr>
        <w:pStyle w:val="2"/>
        <w:rPr>
          <w:lang w:val="en-AU"/>
        </w:rPr>
      </w:pPr>
      <w:bookmarkStart w:id="62" w:name="_Toc125109246"/>
      <w:r>
        <w:rPr>
          <w:lang w:val="en-AU"/>
        </w:rPr>
        <w:t>Workplace Assessment</w:t>
      </w:r>
      <w:bookmarkEnd w:id="62"/>
    </w:p>
    <w:p>
      <w:pPr>
        <w:pStyle w:val="3"/>
        <w:tabs>
          <w:tab w:val="left" w:pos="180"/>
        </w:tabs>
        <w:ind w:right="0"/>
        <w:rPr>
          <w:lang w:val="en-AU"/>
        </w:rPr>
      </w:pPr>
      <w:bookmarkStart w:id="63" w:name="_Toc125109247"/>
      <w:bookmarkStart w:id="64" w:name="_Toc53038404"/>
      <w:r>
        <w:rPr>
          <w:lang w:val="en-AU"/>
        </w:rPr>
        <w:t>Overview</w:t>
      </w:r>
      <w:bookmarkEnd w:id="63"/>
      <w:bookmarkEnd w:id="64"/>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52525" w:themeColor="text1" w:themeTint="D9"/>
                <w:sz w:val="24"/>
              </w:rPr>
            </w:pPr>
            <w:r>
              <w:rPr>
                <w:b/>
                <w:color w:val="252525" w:themeColor="text1" w:themeTint="D9"/>
                <w:sz w:val="24"/>
              </w:rPr>
              <w:t>The goal of this assessment is to assess your practical knowledge and skills in:</w:t>
            </w:r>
          </w:p>
          <w:p>
            <w:pPr>
              <w:pStyle w:val="24"/>
              <w:numPr>
                <w:ilvl w:val="0"/>
                <w:numId w:val="10"/>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Assessing workplace risk</w:t>
            </w:r>
          </w:p>
          <w:p>
            <w:pPr>
              <w:pStyle w:val="24"/>
              <w:numPr>
                <w:ilvl w:val="0"/>
                <w:numId w:val="10"/>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Establishing and implementing safety plans</w:t>
            </w:r>
          </w:p>
          <w:p>
            <w:pPr>
              <w:pStyle w:val="24"/>
              <w:numPr>
                <w:ilvl w:val="0"/>
                <w:numId w:val="10"/>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Monitoring workplace safety</w:t>
            </w:r>
          </w:p>
          <w:p>
            <w:pPr>
              <w:tabs>
                <w:tab w:val="left" w:pos="180"/>
              </w:tabs>
              <w:spacing w:before="300" w:after="120" w:line="276" w:lineRule="auto"/>
              <w:ind w:left="0" w:right="0" w:firstLine="0"/>
              <w:jc w:val="both"/>
              <w:rPr>
                <w:b/>
                <w:color w:val="252525" w:themeColor="text1" w:themeTint="D9"/>
                <w:sz w:val="24"/>
              </w:rPr>
            </w:pPr>
            <w:r>
              <w:rPr>
                <w:b/>
                <w:color w:val="252525" w:themeColor="text1" w:themeTint="D9"/>
                <w:sz w:val="24"/>
              </w:rPr>
              <w:t>This workplace assessment is made up of twelve workplace tasks:</w:t>
            </w:r>
          </w:p>
          <w:p>
            <w:pPr>
              <w:tabs>
                <w:tab w:val="left" w:pos="180"/>
              </w:tabs>
              <w:spacing w:after="120" w:line="276" w:lineRule="auto"/>
              <w:ind w:left="340" w:right="0" w:firstLine="0"/>
              <w:jc w:val="both"/>
              <w:rPr>
                <w:color w:val="252525" w:themeColor="text1" w:themeTint="D9"/>
                <w:sz w:val="24"/>
              </w:rPr>
            </w:pPr>
            <w:r>
              <w:rPr>
                <w:color w:val="0C0C0C" w:themeColor="text1" w:themeTint="F2"/>
                <w:sz w:val="24"/>
              </w:rPr>
              <w:t>Task 1 – Complete Safety Documentation</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2.1 </w:t>
            </w:r>
            <w:r>
              <w:rPr>
                <w:color w:val="0C0C0C" w:themeColor="text1" w:themeTint="F2"/>
                <w:sz w:val="24"/>
              </w:rPr>
              <w:t xml:space="preserve">– </w:t>
            </w:r>
            <w:r>
              <w:rPr>
                <w:color w:val="252525" w:themeColor="text1" w:themeTint="D9"/>
                <w:sz w:val="24"/>
              </w:rPr>
              <w:t>Consult with Workers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2.2 </w:t>
            </w:r>
            <w:r>
              <w:rPr>
                <w:color w:val="0C0C0C" w:themeColor="text1" w:themeTint="F2"/>
                <w:sz w:val="24"/>
              </w:rPr>
              <w:t xml:space="preserve">– </w:t>
            </w:r>
            <w:r>
              <w:rPr>
                <w:color w:val="252525" w:themeColor="text1" w:themeTint="D9"/>
                <w:sz w:val="24"/>
              </w:rPr>
              <w:t>Consult with WHS Experts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3.1 </w:t>
            </w:r>
            <w:r>
              <w:rPr>
                <w:color w:val="0C0C0C" w:themeColor="text1" w:themeTint="F2"/>
                <w:sz w:val="24"/>
              </w:rPr>
              <w:t xml:space="preserve">– </w:t>
            </w:r>
            <w:r>
              <w:rPr>
                <w:color w:val="252525" w:themeColor="text1" w:themeTint="D9"/>
                <w:sz w:val="24"/>
              </w:rPr>
              <w:t>Complete a Workplace Inspection Report</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Task 3.2 – Complete a Workplace Safety Plan</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4 </w:t>
            </w:r>
            <w:r>
              <w:rPr>
                <w:color w:val="0C0C0C" w:themeColor="text1" w:themeTint="F2"/>
                <w:sz w:val="24"/>
              </w:rPr>
              <w:t xml:space="preserve">– </w:t>
            </w:r>
            <w:r>
              <w:rPr>
                <w:color w:val="252525" w:themeColor="text1" w:themeTint="D9"/>
                <w:sz w:val="24"/>
              </w:rPr>
              <w:t>Implement WHS Processes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5 </w:t>
            </w:r>
            <w:r>
              <w:rPr>
                <w:color w:val="0C0C0C" w:themeColor="text1" w:themeTint="F2"/>
                <w:sz w:val="24"/>
              </w:rPr>
              <w:t xml:space="preserve">– </w:t>
            </w:r>
            <w:r>
              <w:rPr>
                <w:color w:val="252525" w:themeColor="text1" w:themeTint="D9"/>
                <w:sz w:val="24"/>
              </w:rPr>
              <w:t>Establish Educational Programs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6.1 </w:t>
            </w:r>
            <w:r>
              <w:rPr>
                <w:color w:val="0C0C0C" w:themeColor="text1" w:themeTint="F2"/>
                <w:sz w:val="24"/>
              </w:rPr>
              <w:t xml:space="preserve">– </w:t>
            </w:r>
            <w:r>
              <w:rPr>
                <w:color w:val="252525" w:themeColor="text1" w:themeTint="D9"/>
                <w:sz w:val="24"/>
              </w:rPr>
              <w:t>Resolve Safety Issues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6.2 </w:t>
            </w:r>
            <w:r>
              <w:rPr>
                <w:color w:val="0C0C0C" w:themeColor="text1" w:themeTint="F2"/>
                <w:sz w:val="24"/>
              </w:rPr>
              <w:t xml:space="preserve">– </w:t>
            </w:r>
            <w:r>
              <w:rPr>
                <w:color w:val="252525" w:themeColor="text1" w:themeTint="D9"/>
                <w:sz w:val="24"/>
              </w:rPr>
              <w:t>Resolve Workplace Conflict</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7.1 </w:t>
            </w:r>
            <w:r>
              <w:rPr>
                <w:color w:val="0C0C0C" w:themeColor="text1" w:themeTint="F2"/>
                <w:sz w:val="24"/>
              </w:rPr>
              <w:t xml:space="preserve">– </w:t>
            </w:r>
            <w:r>
              <w:rPr>
                <w:color w:val="252525" w:themeColor="text1" w:themeTint="D9"/>
                <w:sz w:val="24"/>
              </w:rPr>
              <w:t>Monitor Control Measures</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Task 7.2 – Create an Audit Report</w:t>
            </w:r>
          </w:p>
          <w:p>
            <w:pPr>
              <w:tabs>
                <w:tab w:val="left" w:pos="180"/>
              </w:tabs>
              <w:spacing w:after="120" w:line="276" w:lineRule="auto"/>
              <w:ind w:left="340" w:right="0" w:firstLine="0"/>
              <w:jc w:val="both"/>
              <w:rPr>
                <w:color w:val="252525" w:themeColor="text1" w:themeTint="D9"/>
                <w:sz w:val="24"/>
              </w:rPr>
            </w:pPr>
            <w:r>
              <w:rPr>
                <w:color w:val="252525" w:themeColor="text1" w:themeTint="D9"/>
                <w:sz w:val="24"/>
              </w:rPr>
              <w:t xml:space="preserve">Task 7.3 </w:t>
            </w:r>
            <w:r>
              <w:rPr>
                <w:color w:val="0C0C0C" w:themeColor="text1" w:themeTint="F2"/>
                <w:sz w:val="24"/>
              </w:rPr>
              <w:t xml:space="preserve">– </w:t>
            </w:r>
            <w:r>
              <w:rPr>
                <w:color w:val="252525" w:themeColor="text1" w:themeTint="D9"/>
                <w:sz w:val="24"/>
              </w:rPr>
              <w:t>Address Non-Compliance</w:t>
            </w:r>
          </w:p>
          <w:p>
            <w:pPr>
              <w:tabs>
                <w:tab w:val="left" w:pos="180"/>
              </w:tabs>
              <w:spacing w:after="120" w:line="276" w:lineRule="auto"/>
              <w:ind w:left="0" w:right="0" w:firstLine="0"/>
              <w:jc w:val="both"/>
              <w:rPr>
                <w:rFonts w:cstheme="minorHAnsi"/>
                <w:color w:val="0C0C0C" w:themeColor="text1" w:themeTint="F2"/>
                <w:sz w:val="24"/>
                <w:szCs w:val="24"/>
                <w:lang w:eastAsia="en-AU" w:bidi="en-US"/>
              </w:rPr>
            </w:pPr>
            <w:r>
              <w:rPr>
                <w:rFonts w:cstheme="minorHAnsi"/>
                <w:color w:val="0C0C0C" w:themeColor="text1" w:themeTint="F2"/>
                <w:sz w:val="24"/>
                <w:szCs w:val="24"/>
                <w:lang w:eastAsia="en-AU" w:bidi="en-US"/>
              </w:rPr>
              <w:t xml:space="preserve">Each task comes with a set of instructions. You are to follow and perform these instructions while being </w:t>
            </w:r>
            <w:r>
              <w:rPr>
                <w:color w:val="252525" w:themeColor="text1" w:themeTint="D9"/>
                <w:sz w:val="24"/>
              </w:rPr>
              <w:t>observed</w:t>
            </w:r>
            <w:r>
              <w:rPr>
                <w:rFonts w:cstheme="minorHAnsi"/>
                <w:color w:val="0C0C0C" w:themeColor="text1" w:themeTint="F2"/>
                <w:sz w:val="24"/>
                <w:szCs w:val="24"/>
                <w:lang w:eastAsia="en-AU" w:bidi="en-US"/>
              </w:rPr>
              <w:t xml:space="preserve"> by the assessor and submit any required documentation.</w:t>
            </w:r>
          </w:p>
        </w:tc>
      </w:tr>
    </w:tbl>
    <w:p>
      <w:r>
        <w:br w:type="page"/>
      </w:r>
    </w:p>
    <w:tbl>
      <w:tblPr>
        <w:tblStyle w:val="18"/>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80" w:line="276" w:lineRule="auto"/>
              <w:ind w:left="0" w:right="0" w:firstLine="0"/>
              <w:jc w:val="both"/>
              <w:rPr>
                <w:rFonts w:cstheme="minorHAnsi"/>
                <w:b/>
                <w:bCs/>
                <w:color w:val="0C0C0C" w:themeColor="text1" w:themeTint="F2"/>
                <w:sz w:val="24"/>
                <w:szCs w:val="24"/>
                <w:lang w:eastAsia="en-AU" w:bidi="en-US"/>
              </w:rPr>
            </w:pPr>
            <w:r>
              <w:rPr>
                <w:rFonts w:cstheme="minorHAnsi"/>
                <w:b/>
                <w:bCs/>
                <w:color w:val="0C0C0C" w:themeColor="text1" w:themeTint="F2"/>
                <w:sz w:val="24"/>
                <w:szCs w:val="24"/>
                <w:lang w:eastAsia="en-AU" w:bidi="en-US"/>
              </w:rPr>
              <w:t>You are required to:</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Complete the tasks within the time allowed.</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Review the instructions in each task.</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Assess workplace risk</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Establish and implement safety plans</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Monitor workplace safety</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Perform the workplace task according to the instructions provided</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Complete and submit any required documentation.</w:t>
            </w:r>
          </w:p>
          <w:p>
            <w:pPr>
              <w:tabs>
                <w:tab w:val="left" w:pos="180"/>
              </w:tabs>
              <w:spacing w:after="80" w:line="276" w:lineRule="auto"/>
              <w:ind w:left="0" w:right="0" w:firstLine="0"/>
              <w:jc w:val="both"/>
              <w:rPr>
                <w:b/>
                <w:color w:val="252525" w:themeColor="text1" w:themeTint="D9"/>
                <w:sz w:val="24"/>
              </w:rPr>
            </w:pPr>
            <w:r>
              <w:rPr>
                <w:b/>
                <w:color w:val="252525" w:themeColor="text1" w:themeTint="D9"/>
                <w:sz w:val="24"/>
              </w:rPr>
              <w:t>Resources required for assessment:</w:t>
            </w:r>
          </w:p>
          <w:p>
            <w:pPr>
              <w:tabs>
                <w:tab w:val="left" w:pos="180"/>
              </w:tabs>
              <w:spacing w:after="80" w:line="276" w:lineRule="auto"/>
              <w:ind w:left="0" w:right="0" w:firstLine="0"/>
              <w:jc w:val="both"/>
              <w:rPr>
                <w:color w:val="252525" w:themeColor="text1" w:themeTint="D9"/>
                <w:sz w:val="24"/>
              </w:rPr>
            </w:pPr>
            <w:r>
              <w:rPr>
                <w:color w:val="252525" w:themeColor="text1" w:themeTint="D9"/>
                <w:sz w:val="24"/>
              </w:rPr>
              <w:t>To complete this assessment, you will need access to the following:</w:t>
            </w:r>
          </w:p>
          <w:p>
            <w:pPr>
              <w:pStyle w:val="24"/>
              <w:numPr>
                <w:ilvl w:val="0"/>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A workplace or a similar environment that will allow you access to:</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Building and construction project</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Access to the following:</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Colleagues and personnel who are also working on the building and construction project</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Health and safety representatives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WHS experts relevant to the building and construction project</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Organisational policies and procedures, such as: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conducting hazard identifications and site risk assessments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internal and external consultation</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workplace inspections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workplace safety</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implementing workplace safety processes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establishing educational programs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resolving workplace conflicts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risk control measures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auditing workplace safety</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Policies and procedures relevant to addressing WHS non-compliance</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Documentation templates, such as: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Hazard identification form</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Risk register</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Workplace inspection reports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Workplace safety plans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Site WHS audit report</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 xml:space="preserve">Workplace resources, such as: </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Rooms for walkthrough sessions, educational programs, and conflict resolution meetings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Feedback forms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Records of control measures implemented on previous similar projects completed by the organisation</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Incident reports from the current project and previous similar projects completed by the organisation</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Documentation relevant to control measures implemented</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Records of previous consultations conducted</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Records of work health and safety training conducted on the project</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Staff handbook</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Human resources management plan</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Hazard identification forms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Risk registers</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Project documents, such as: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Scope of work</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Work breakdown structure</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Material safety data sheets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Manufacturer’s instructions for plant and equipment</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Incident reports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Records of previous consultations with workers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Site layout</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Plant and equipment inventory</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Material safety data sheets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Hazardous products inventory</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Documentation relevant to processes followed</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List of educational programs implemented</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List of topics covered by educational programs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Attendance records for educational programs</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szCs w:val="24"/>
              </w:rPr>
              <w:t xml:space="preserve">WHS </w:t>
            </w:r>
            <w:r>
              <w:rPr>
                <w:color w:val="252525" w:themeColor="text1" w:themeTint="D9"/>
                <w:sz w:val="24"/>
              </w:rPr>
              <w:t>legislation and regulations relevant to the building and construction project</w:t>
            </w:r>
          </w:p>
          <w:p>
            <w:pPr>
              <w:pStyle w:val="24"/>
              <w:numPr>
                <w:ilvl w:val="1"/>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Safety codes, standards and guidelines</w:t>
            </w:r>
          </w:p>
          <w:p>
            <w:pPr>
              <w:pStyle w:val="24"/>
              <w:numPr>
                <w:ilvl w:val="1"/>
                <w:numId w:val="10"/>
              </w:numPr>
              <w:tabs>
                <w:tab w:val="left" w:pos="180"/>
              </w:tabs>
              <w:spacing w:after="80" w:line="276" w:lineRule="auto"/>
              <w:ind w:right="0"/>
              <w:contextualSpacing w:val="0"/>
              <w:jc w:val="both"/>
              <w:rPr>
                <w:color w:val="252525" w:themeColor="text1" w:themeTint="D9"/>
                <w:sz w:val="24"/>
                <w:szCs w:val="24"/>
              </w:rPr>
            </w:pPr>
            <w:r>
              <w:rPr>
                <w:color w:val="252525" w:themeColor="text1" w:themeTint="D9"/>
                <w:sz w:val="24"/>
              </w:rPr>
              <w:t>Busin</w:t>
            </w:r>
            <w:r>
              <w:rPr>
                <w:color w:val="252525" w:themeColor="text1" w:themeTint="D9"/>
                <w:sz w:val="24"/>
                <w:szCs w:val="24"/>
              </w:rPr>
              <w:t>ess equipment to collect and record data, and produce reports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Project management software</w:t>
            </w:r>
          </w:p>
          <w:p>
            <w:pPr>
              <w:pStyle w:val="24"/>
              <w:numPr>
                <w:ilvl w:val="2"/>
                <w:numId w:val="10"/>
              </w:numPr>
              <w:tabs>
                <w:tab w:val="left" w:pos="180"/>
              </w:tabs>
              <w:spacing w:after="80" w:line="276" w:lineRule="auto"/>
              <w:ind w:right="0"/>
              <w:contextualSpacing w:val="0"/>
              <w:jc w:val="both"/>
              <w:rPr>
                <w:color w:val="252525" w:themeColor="text1" w:themeTint="D9"/>
                <w:sz w:val="24"/>
                <w:szCs w:val="24"/>
              </w:rPr>
            </w:pPr>
            <w:r>
              <w:rPr>
                <w:color w:val="252525" w:themeColor="text1" w:themeTint="D9"/>
                <w:sz w:val="24"/>
              </w:rPr>
              <w:t>I</w:t>
            </w:r>
            <w:r>
              <w:rPr>
                <w:color w:val="252525" w:themeColor="text1" w:themeTint="D9"/>
                <w:sz w:val="24"/>
                <w:szCs w:val="24"/>
              </w:rPr>
              <w:t>ntranet systems</w:t>
            </w:r>
          </w:p>
          <w:p>
            <w:pPr>
              <w:pStyle w:val="24"/>
              <w:numPr>
                <w:ilvl w:val="1"/>
                <w:numId w:val="10"/>
              </w:numPr>
              <w:tabs>
                <w:tab w:val="left" w:pos="180"/>
              </w:tabs>
              <w:spacing w:after="80" w:line="276" w:lineRule="auto"/>
              <w:ind w:right="0"/>
              <w:contextualSpacing w:val="0"/>
              <w:jc w:val="both"/>
              <w:rPr>
                <w:color w:val="252525" w:themeColor="text1" w:themeTint="D9"/>
                <w:sz w:val="24"/>
                <w:szCs w:val="24"/>
              </w:rPr>
            </w:pPr>
            <w:r>
              <w:rPr>
                <w:color w:val="252525" w:themeColor="text1" w:themeTint="D9"/>
                <w:sz w:val="24"/>
                <w:szCs w:val="24"/>
              </w:rPr>
              <w:t xml:space="preserve">Digital devices, applications and software to research, transmit and receive </w:t>
            </w:r>
            <w:r>
              <w:rPr>
                <w:color w:val="252525" w:themeColor="text1" w:themeTint="D9"/>
                <w:sz w:val="24"/>
              </w:rPr>
              <w:t>information</w:t>
            </w:r>
            <w:r>
              <w:rPr>
                <w:color w:val="252525" w:themeColor="text1" w:themeTint="D9"/>
                <w:sz w:val="24"/>
                <w:szCs w:val="24"/>
              </w:rPr>
              <w:t xml:space="preserve"> electronically, such as: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Mobile phones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Laptops or computers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rPr>
              <w:t>Word processing programs</w:t>
            </w:r>
          </w:p>
          <w:p>
            <w:pPr>
              <w:pStyle w:val="24"/>
              <w:numPr>
                <w:ilvl w:val="2"/>
                <w:numId w:val="10"/>
              </w:numPr>
              <w:tabs>
                <w:tab w:val="left" w:pos="180"/>
              </w:tabs>
              <w:spacing w:after="80" w:line="276" w:lineRule="auto"/>
              <w:ind w:right="0"/>
              <w:contextualSpacing w:val="0"/>
              <w:jc w:val="both"/>
              <w:rPr>
                <w:color w:val="252525" w:themeColor="text1" w:themeTint="D9"/>
                <w:sz w:val="24"/>
                <w:szCs w:val="24"/>
              </w:rPr>
            </w:pPr>
            <w:r>
              <w:rPr>
                <w:color w:val="252525" w:themeColor="text1" w:themeTint="D9"/>
                <w:sz w:val="24"/>
              </w:rPr>
              <w:t>W</w:t>
            </w:r>
            <w:r>
              <w:rPr>
                <w:color w:val="252525" w:themeColor="text1" w:themeTint="D9"/>
                <w:sz w:val="24"/>
                <w:szCs w:val="24"/>
              </w:rPr>
              <w:t>eb browsers</w:t>
            </w:r>
          </w:p>
          <w:p>
            <w:pPr>
              <w:pStyle w:val="24"/>
              <w:numPr>
                <w:ilvl w:val="2"/>
                <w:numId w:val="10"/>
              </w:numPr>
              <w:tabs>
                <w:tab w:val="left" w:pos="180"/>
              </w:tabs>
              <w:spacing w:after="80" w:line="276" w:lineRule="auto"/>
              <w:ind w:right="0"/>
              <w:contextualSpacing w:val="0"/>
              <w:jc w:val="both"/>
              <w:rPr>
                <w:color w:val="252525" w:themeColor="text1" w:themeTint="D9"/>
                <w:sz w:val="24"/>
                <w:szCs w:val="24"/>
              </w:rPr>
            </w:pPr>
            <w:r>
              <w:rPr>
                <w:color w:val="252525" w:themeColor="text1" w:themeTint="D9"/>
                <w:sz w:val="24"/>
                <w:szCs w:val="24"/>
              </w:rPr>
              <w:t>Email programs</w:t>
            </w:r>
          </w:p>
          <w:p>
            <w:pPr>
              <w:pStyle w:val="24"/>
              <w:numPr>
                <w:ilvl w:val="2"/>
                <w:numId w:val="10"/>
              </w:numPr>
              <w:tabs>
                <w:tab w:val="left" w:pos="180"/>
              </w:tabs>
              <w:spacing w:after="80" w:line="276" w:lineRule="auto"/>
              <w:ind w:right="0"/>
              <w:contextualSpacing w:val="0"/>
              <w:jc w:val="both"/>
              <w:rPr>
                <w:color w:val="252525" w:themeColor="text1" w:themeTint="D9"/>
                <w:sz w:val="24"/>
              </w:rPr>
            </w:pPr>
            <w:r>
              <w:rPr>
                <w:color w:val="252525" w:themeColor="text1" w:themeTint="D9"/>
                <w:sz w:val="24"/>
                <w:szCs w:val="24"/>
              </w:rPr>
              <w:t>Chatting or messaging apps</w:t>
            </w:r>
          </w:p>
        </w:tc>
      </w:tr>
    </w:tbl>
    <w:p>
      <w:pPr>
        <w:spacing w:after="120" w:line="276" w:lineRule="auto"/>
        <w:ind w:left="0" w:firstLine="0"/>
      </w:pPr>
      <w:r>
        <w:br w:type="page"/>
      </w:r>
    </w:p>
    <w:p>
      <w:pPr>
        <w:pStyle w:val="3"/>
        <w:tabs>
          <w:tab w:val="left" w:pos="180"/>
        </w:tabs>
        <w:ind w:right="0"/>
        <w:rPr>
          <w:b w:val="0"/>
          <w:bCs/>
          <w:lang w:val="en-AU"/>
        </w:rPr>
      </w:pPr>
      <w:bookmarkStart w:id="65" w:name="_Hlk59353935"/>
      <w:bookmarkStart w:id="66" w:name="_Toc125109248"/>
      <w:bookmarkStart w:id="67" w:name="_Hlk51588141"/>
      <w:r>
        <w:rPr>
          <w:b w:val="0"/>
          <w:bCs/>
          <w:lang w:val="en-AU"/>
        </w:rPr>
        <w:t xml:space="preserve">Task 1 Complete </w:t>
      </w:r>
      <w:bookmarkEnd w:id="65"/>
      <w:r>
        <w:rPr>
          <w:b w:val="0"/>
          <w:bCs/>
          <w:lang w:val="en-AU"/>
        </w:rPr>
        <w:t>Safety Documentation</w:t>
      </w:r>
      <w:bookmarkEnd w:id="66"/>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Complete the following documents for the building and construction project you are undertaking.</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Use your organisation’s template for these documents: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color w:val="252525" w:themeColor="text1" w:themeTint="D9"/>
                <w:sz w:val="24"/>
              </w:rPr>
              <w:t>Hazard identification form</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Risk register</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Or you may use the following generic templates provided along with this workbook:</w:t>
            </w:r>
          </w:p>
          <w:p>
            <w:pPr>
              <w:pStyle w:val="24"/>
              <w:numPr>
                <w:ilvl w:val="0"/>
                <w:numId w:val="42"/>
              </w:numPr>
              <w:spacing w:after="120" w:line="276" w:lineRule="auto"/>
              <w:ind w:right="0"/>
              <w:contextualSpacing w:val="0"/>
              <w:jc w:val="both"/>
              <w:rPr>
                <w:rFonts w:cstheme="minorHAnsi"/>
                <w:b/>
                <w:bCs/>
                <w:color w:val="252525" w:themeColor="text1" w:themeTint="D9"/>
                <w:sz w:val="24"/>
                <w:szCs w:val="24"/>
              </w:rPr>
            </w:pPr>
            <w:r>
              <w:rPr>
                <w:b/>
                <w:bCs/>
                <w:color w:val="252525" w:themeColor="text1" w:themeTint="D9"/>
                <w:sz w:val="24"/>
              </w:rPr>
              <w:t>Generic Hazard Identification Form</w:t>
            </w:r>
          </w:p>
          <w:p>
            <w:pPr>
              <w:pStyle w:val="24"/>
              <w:numPr>
                <w:ilvl w:val="0"/>
                <w:numId w:val="42"/>
              </w:numPr>
              <w:spacing w:after="120" w:line="276" w:lineRule="auto"/>
              <w:ind w:right="0"/>
              <w:contextualSpacing w:val="0"/>
              <w:jc w:val="both"/>
              <w:rPr>
                <w:rFonts w:cstheme="minorHAnsi"/>
                <w:b/>
                <w:bCs/>
                <w:color w:val="252525" w:themeColor="text1" w:themeTint="D9"/>
                <w:sz w:val="24"/>
                <w:szCs w:val="24"/>
              </w:rPr>
            </w:pPr>
            <w:r>
              <w:rPr>
                <w:rFonts w:cstheme="minorHAnsi"/>
                <w:b/>
                <w:bCs/>
                <w:color w:val="252525" w:themeColor="text1" w:themeTint="D9"/>
                <w:sz w:val="24"/>
                <w:szCs w:val="24"/>
              </w:rPr>
              <w:t>Generic Risk Register</w:t>
            </w:r>
          </w:p>
          <w:p>
            <w:pPr>
              <w:spacing w:after="120" w:line="276" w:lineRule="auto"/>
              <w:ind w:left="0" w:right="0" w:firstLine="0"/>
              <w:jc w:val="both"/>
              <w:rPr>
                <w:rFonts w:cstheme="minorHAnsi"/>
                <w:color w:val="252525" w:themeColor="text1" w:themeTint="D9"/>
                <w:sz w:val="24"/>
                <w:szCs w:val="24"/>
              </w:rPr>
            </w:pPr>
            <w:r>
              <w:rPr>
                <w:color w:val="252525" w:themeColor="text1" w:themeTint="D9"/>
                <w:sz w:val="24"/>
              </w:rPr>
              <w:t xml:space="preserve">You will be assessed on: </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hazard identifications and risk assessments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completing a hazard identification and site risk assessment</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1 – Assessor’s Checklist </w:t>
            </w:r>
            <w:r>
              <w:rPr>
                <w:rFonts w:cstheme="minorHAnsi"/>
                <w:color w:val="252525" w:themeColor="text1" w:themeTint="D9"/>
                <w:sz w:val="24"/>
                <w:szCs w:val="24"/>
              </w:rPr>
              <w:t xml:space="preserve">provided along with this workbook. This form lists the criteria your submissions must address to complete this task satisfactorily. </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Hazard identification form</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Risk register</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Copies of WHS legislative requirements and organisational policies that are applicable to control measures required on the building and construction project</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Copies of project documents that you accessed and reviewed, e.g., scope of work, work breakdown structure (WBS), material safety data sheets, manufacturer’s instructions for plant and equipment, incident reports, records of previous consultations with workers, etc.</w:t>
            </w:r>
          </w:p>
        </w:tc>
      </w:tr>
    </w:tbl>
    <w:p>
      <w:pPr>
        <w:spacing w:before="0" w:line="276" w:lineRule="auto"/>
        <w:ind w:left="0" w:right="0" w:firstLine="0"/>
      </w:pPr>
    </w:p>
    <w:p>
      <w:pPr>
        <w:spacing w:after="120" w:line="276" w:lineRule="auto"/>
        <w:rPr>
          <w:rFonts w:ascii="Arial" w:hAnsi="Arial" w:eastAsiaTheme="majorEastAsia" w:cstheme="majorBidi"/>
          <w:bCs/>
          <w:color w:val="252525" w:themeColor="text1" w:themeTint="D9"/>
          <w:sz w:val="24"/>
          <w:szCs w:val="26"/>
          <w:lang w:bidi="en-US"/>
        </w:rPr>
      </w:pPr>
      <w:bookmarkStart w:id="68" w:name="_Hlk59346247"/>
      <w:r>
        <w:rPr>
          <w:b/>
          <w:bCs/>
        </w:rPr>
        <w:br w:type="page"/>
      </w:r>
    </w:p>
    <w:p>
      <w:pPr>
        <w:pStyle w:val="3"/>
        <w:tabs>
          <w:tab w:val="left" w:pos="180"/>
        </w:tabs>
        <w:ind w:right="0"/>
        <w:rPr>
          <w:b w:val="0"/>
          <w:bCs/>
          <w:lang w:val="en-AU"/>
        </w:rPr>
      </w:pPr>
      <w:bookmarkStart w:id="69" w:name="_Toc125109249"/>
      <w:r>
        <w:rPr>
          <w:b w:val="0"/>
          <w:bCs/>
          <w:lang w:val="en-AU"/>
        </w:rPr>
        <w:t>Task 2 Consultations</w:t>
      </w:r>
      <w:bookmarkEnd w:id="69"/>
    </w:p>
    <w:p>
      <w:pPr>
        <w:pStyle w:val="4"/>
        <w:rPr>
          <w:rFonts w:asciiTheme="minorHAnsi" w:hAnsiTheme="minorHAnsi" w:cstheme="minorHAnsi"/>
          <w:lang w:val="en-GB" w:bidi="en-US"/>
        </w:rPr>
      </w:pPr>
      <w:bookmarkStart w:id="70" w:name="_Toc125109250"/>
      <w:r>
        <w:rPr>
          <w:rFonts w:asciiTheme="minorHAnsi" w:hAnsiTheme="minorHAnsi" w:cstheme="minorHAnsi"/>
          <w:lang w:val="en-GB" w:bidi="en-US"/>
        </w:rPr>
        <w:t>Task 2.1 Consult with Workers</w:t>
      </w:r>
      <w:bookmarkEnd w:id="70"/>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Consult with workers to evaluate the effectiveness of existing hazard control measures on the building and construction project, while being observed by the assessor.</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consultations with site workers</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consulting with site workers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2.1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relevant communication with workers to your assessor, e.g., meeting minutes, email threads, screenshots of messaging apps, etc.</w:t>
            </w:r>
          </w:p>
        </w:tc>
      </w:tr>
    </w:tbl>
    <w:p>
      <w:pPr>
        <w:spacing w:before="0" w:line="276" w:lineRule="auto"/>
        <w:ind w:left="0" w:right="0" w:firstLine="0"/>
      </w:pPr>
    </w:p>
    <w:p>
      <w:pPr>
        <w:spacing w:after="120" w:line="276" w:lineRule="auto"/>
      </w:pPr>
      <w:r>
        <w:br w:type="page"/>
      </w:r>
    </w:p>
    <w:bookmarkEnd w:id="68"/>
    <w:p>
      <w:pPr>
        <w:pStyle w:val="4"/>
        <w:rPr>
          <w:rFonts w:asciiTheme="minorHAnsi" w:hAnsiTheme="minorHAnsi" w:cstheme="minorHAnsi"/>
          <w:lang w:val="en-GB" w:bidi="en-US"/>
        </w:rPr>
      </w:pPr>
      <w:bookmarkStart w:id="71" w:name="_Toc125109251"/>
      <w:bookmarkStart w:id="72" w:name="_Hlk59346256"/>
      <w:r>
        <w:rPr>
          <w:rFonts w:asciiTheme="minorHAnsi" w:hAnsiTheme="minorHAnsi" w:cstheme="minorHAnsi"/>
          <w:lang w:val="en-GB" w:bidi="en-US"/>
        </w:rPr>
        <w:t>Task 2.2 Consult with WHS Experts</w:t>
      </w:r>
      <w:bookmarkEnd w:id="71"/>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Consult with WHS experts to evaluate the effectiveness of existing hazard control measures on the building and construction project, while being observed by the assessor.</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consultations with WHS experts</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consulting with WHS experts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2.2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copies of relevant communication with WHS experts to your assessor, e.g., meeting minutes, email threads, screenshots of messaging apps, etc.</w:t>
            </w:r>
          </w:p>
        </w:tc>
      </w:tr>
      <w:bookmarkEnd w:id="72"/>
    </w:tbl>
    <w:p>
      <w:pPr>
        <w:spacing w:after="120" w:line="276" w:lineRule="auto"/>
        <w:ind w:left="0" w:firstLine="0"/>
      </w:pPr>
      <w:r>
        <w:br w:type="page"/>
      </w:r>
    </w:p>
    <w:p>
      <w:pPr>
        <w:pStyle w:val="3"/>
        <w:tabs>
          <w:tab w:val="left" w:pos="180"/>
        </w:tabs>
        <w:ind w:right="0"/>
        <w:rPr>
          <w:b w:val="0"/>
          <w:bCs/>
          <w:lang w:val="en-AU"/>
        </w:rPr>
      </w:pPr>
      <w:bookmarkStart w:id="73" w:name="_Toc125109252"/>
      <w:bookmarkStart w:id="74" w:name="_Hlk59353912"/>
      <w:r>
        <w:rPr>
          <w:b w:val="0"/>
          <w:bCs/>
          <w:lang w:val="en-AU"/>
        </w:rPr>
        <w:t>Task 3 Workplace Safety Documents</w:t>
      </w:r>
      <w:bookmarkEnd w:id="73"/>
    </w:p>
    <w:p>
      <w:pPr>
        <w:pStyle w:val="4"/>
        <w:rPr>
          <w:rFonts w:asciiTheme="minorHAnsi" w:hAnsiTheme="minorHAnsi" w:cstheme="minorHAnsi"/>
          <w:lang w:val="en-GB" w:bidi="en-US"/>
        </w:rPr>
      </w:pPr>
      <w:bookmarkStart w:id="75" w:name="_Toc125109253"/>
      <w:r>
        <w:rPr>
          <w:rFonts w:asciiTheme="minorHAnsi" w:hAnsiTheme="minorHAnsi" w:cstheme="minorHAnsi"/>
          <w:lang w:val="en-GB" w:bidi="en-US"/>
        </w:rPr>
        <w:t>Task 3.1 Complete a Workplace Inspection Report</w:t>
      </w:r>
      <w:bookmarkEnd w:id="75"/>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Complete a workplace inspection report for the building and construction project you are undertaking, taking into consideration the following:</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The documentation you completed in Task 1</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The consultations you completed in Task 2.1 and Task 2.2.</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Use your organisation’s template for writing workplace inspection reports, or you may use the </w:t>
            </w:r>
            <w:r>
              <w:rPr>
                <w:rFonts w:cstheme="minorHAnsi"/>
                <w:b/>
                <w:bCs/>
                <w:color w:val="252525" w:themeColor="text1" w:themeTint="D9"/>
                <w:sz w:val="24"/>
                <w:szCs w:val="24"/>
              </w:rPr>
              <w:t xml:space="preserve">Generic Workplace Inspection Report </w:t>
            </w:r>
            <w:r>
              <w:rPr>
                <w:rFonts w:cstheme="minorHAnsi"/>
                <w:color w:val="252525" w:themeColor="text1" w:themeTint="D9"/>
                <w:sz w:val="24"/>
                <w:szCs w:val="24"/>
              </w:rPr>
              <w:t>template provided along with this workbook.</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complete a workplace inspection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how to complete a workplace inspection report</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3.1 – Assessor’s Checklist </w:t>
            </w:r>
            <w:r>
              <w:rPr>
                <w:rFonts w:cstheme="minorHAnsi"/>
                <w:color w:val="252525" w:themeColor="text1" w:themeTint="D9"/>
                <w:sz w:val="24"/>
                <w:szCs w:val="24"/>
              </w:rPr>
              <w:t xml:space="preserve">provided along with this workbook. This form lists the criteria your workplace inspection report submission must address to complete this task satisfactorily. </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The completed workplace inspection report</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Copies of project documents that you accessed and reviewed, e.g., site layout, plant and equipment inventory, material safety data sheets, hazardous products inventory, documentation relevant to processes followed, etc.</w:t>
            </w:r>
          </w:p>
        </w:tc>
      </w:tr>
      <w:bookmarkEnd w:id="67"/>
      <w:bookmarkEnd w:id="74"/>
    </w:tbl>
    <w:p>
      <w:pPr>
        <w:spacing w:after="120" w:line="276" w:lineRule="auto"/>
        <w:ind w:left="0" w:firstLine="0"/>
        <w:rPr>
          <w:highlight w:val="yellow"/>
        </w:rPr>
      </w:pPr>
      <w:bookmarkStart w:id="76" w:name="_Toc52091812"/>
      <w:bookmarkStart w:id="77" w:name="_Toc53038412"/>
      <w:r>
        <w:rPr>
          <w:highlight w:val="yellow"/>
        </w:rPr>
        <w:br w:type="page"/>
      </w:r>
    </w:p>
    <w:p>
      <w:pPr>
        <w:pStyle w:val="4"/>
        <w:rPr>
          <w:rFonts w:asciiTheme="minorHAnsi" w:hAnsiTheme="minorHAnsi" w:cstheme="minorHAnsi"/>
          <w:lang w:val="en-GB" w:bidi="en-US"/>
        </w:rPr>
      </w:pPr>
      <w:bookmarkStart w:id="78" w:name="_Toc125109254"/>
      <w:bookmarkStart w:id="79" w:name="_Hlk59353886"/>
      <w:r>
        <w:rPr>
          <w:rFonts w:asciiTheme="minorHAnsi" w:hAnsiTheme="minorHAnsi" w:cstheme="minorHAnsi"/>
          <w:lang w:val="en-GB" w:bidi="en-US"/>
        </w:rPr>
        <w:t>Task 3.2 Complete a Workplace Safety Plan</w:t>
      </w:r>
      <w:bookmarkEnd w:id="78"/>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Complete a workplace safety plan for the building and construction project you are undertaking, taking into consideration your workplace inspection report from Task 3.1.</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Use your organisation’s template for writing workplace safety plans, or you may use the </w:t>
            </w:r>
            <w:r>
              <w:rPr>
                <w:rFonts w:cstheme="minorHAnsi"/>
                <w:b/>
                <w:bCs/>
                <w:color w:val="252525" w:themeColor="text1" w:themeTint="D9"/>
                <w:sz w:val="24"/>
                <w:szCs w:val="24"/>
              </w:rPr>
              <w:t xml:space="preserve">Generic Workplace Safety Plan </w:t>
            </w:r>
            <w:r>
              <w:rPr>
                <w:rFonts w:cstheme="minorHAnsi"/>
                <w:color w:val="252525" w:themeColor="text1" w:themeTint="D9"/>
                <w:sz w:val="24"/>
                <w:szCs w:val="24"/>
              </w:rPr>
              <w:t>template provided along with this workbook.</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complete a workplace safety plan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how to complete a workplace safety plan</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3.2 – Assessor’s Checklist </w:t>
            </w:r>
            <w:r>
              <w:rPr>
                <w:rFonts w:cstheme="minorHAnsi"/>
                <w:color w:val="252525" w:themeColor="text1" w:themeTint="D9"/>
                <w:sz w:val="24"/>
                <w:szCs w:val="24"/>
              </w:rPr>
              <w:t>provided along with this workbook. This form lists the criteria your workplace safety plan</w:t>
            </w:r>
            <w:r>
              <w:rPr>
                <w:rFonts w:cstheme="minorHAnsi"/>
                <w:b/>
                <w:bCs/>
                <w:color w:val="252525" w:themeColor="text1" w:themeTint="D9"/>
                <w:sz w:val="24"/>
                <w:szCs w:val="24"/>
              </w:rPr>
              <w:t xml:space="preserve"> </w:t>
            </w:r>
            <w:r>
              <w:rPr>
                <w:rFonts w:cstheme="minorHAnsi"/>
                <w:color w:val="252525" w:themeColor="text1" w:themeTint="D9"/>
                <w:sz w:val="24"/>
                <w:szCs w:val="24"/>
              </w:rPr>
              <w:t xml:space="preserve">submission must address to complete this task satisfactorily. </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The completed workplace safety plan</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Copies of project documents that you accessed and reviewed, e.g., site layout, plant and equipment inventory, material safety data sheets, hazardous products inventory, documentation relevant to processes followed, etc.</w:t>
            </w:r>
          </w:p>
        </w:tc>
      </w:tr>
    </w:tbl>
    <w:p>
      <w:pPr>
        <w:spacing w:before="0" w:line="276" w:lineRule="auto"/>
        <w:ind w:left="0" w:right="0" w:firstLine="0"/>
      </w:pPr>
    </w:p>
    <w:p>
      <w:pPr>
        <w:spacing w:after="120" w:line="276" w:lineRule="auto"/>
        <w:ind w:left="0" w:firstLine="0"/>
        <w:rPr>
          <w:lang w:val="en-GB" w:bidi="en-US"/>
        </w:rPr>
      </w:pPr>
      <w:r>
        <w:rPr>
          <w:lang w:val="en-GB" w:bidi="en-US"/>
        </w:rPr>
        <w:br w:type="page"/>
      </w:r>
    </w:p>
    <w:p>
      <w:pPr>
        <w:pStyle w:val="3"/>
        <w:tabs>
          <w:tab w:val="left" w:pos="180"/>
        </w:tabs>
        <w:ind w:right="0"/>
        <w:rPr>
          <w:b w:val="0"/>
          <w:bCs/>
          <w:lang w:val="en-AU"/>
        </w:rPr>
      </w:pPr>
      <w:bookmarkStart w:id="80" w:name="_Toc125109255"/>
      <w:r>
        <w:rPr>
          <w:b w:val="0"/>
          <w:bCs/>
          <w:lang w:val="en-AU"/>
        </w:rPr>
        <w:t>Task 4 Implement WHS Processes</w:t>
      </w:r>
      <w:bookmarkEnd w:id="80"/>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Implement the following WHS processes on the building and construction project you are undertaking:</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Process for identifying hazards</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Process for rating risks</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Process for putting control measures in place</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relevant workplace safety processes</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implementing relevant workplace safety processes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4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delegating and assigning roles for relevant personnel involving in the implementation of the processes, e.g., copies of communication with relevant personnel, meeting minutes, screenshots from messaging apps, etc.</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supervising the implementation of the processes, e.g., copies of supervisor notes, issues log, etc.</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reviewing the output of the implementation and providing feedback to the personnel involved, e.g., copies of completed performance reviews, copies of communication with personnel involved, etc.</w:t>
            </w:r>
          </w:p>
        </w:tc>
      </w:tr>
      <w:bookmarkEnd w:id="79"/>
    </w:tbl>
    <w:p>
      <w:pPr>
        <w:spacing w:after="120" w:line="276" w:lineRule="auto"/>
        <w:ind w:left="0" w:firstLine="0"/>
      </w:pPr>
      <w:r>
        <w:br w:type="page"/>
      </w:r>
    </w:p>
    <w:p>
      <w:pPr>
        <w:pStyle w:val="3"/>
        <w:tabs>
          <w:tab w:val="left" w:pos="180"/>
        </w:tabs>
        <w:ind w:right="0"/>
        <w:rPr>
          <w:b w:val="0"/>
          <w:bCs/>
          <w:lang w:val="en-AU"/>
        </w:rPr>
      </w:pPr>
      <w:bookmarkStart w:id="81" w:name="_Toc125109256"/>
      <w:bookmarkStart w:id="82" w:name="_Hlk59353874"/>
      <w:bookmarkStart w:id="83" w:name="_Hlk124919549"/>
      <w:r>
        <w:rPr>
          <w:b w:val="0"/>
          <w:bCs/>
          <w:lang w:val="en-AU"/>
        </w:rPr>
        <w:t>Task 5 Identifying Training Requirements</w:t>
      </w:r>
      <w:bookmarkEnd w:id="81"/>
    </w:p>
    <w:bookmarkEnd w:id="82"/>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Identify training requirements to ensure site workers carry out safe work practices.</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establishing educational programs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establishing educational programs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5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Completion of a training schedule, which identifies the training provider, duration of training, cost of training and any required experience that is expected from the participants.</w:t>
            </w:r>
          </w:p>
        </w:tc>
      </w:tr>
    </w:tbl>
    <w:p>
      <w:pPr>
        <w:spacing w:after="120" w:line="276" w:lineRule="auto"/>
        <w:ind w:left="0" w:firstLine="0"/>
      </w:pPr>
      <w:r>
        <w:br w:type="page"/>
      </w:r>
    </w:p>
    <w:bookmarkEnd w:id="83"/>
    <w:p>
      <w:pPr>
        <w:pStyle w:val="3"/>
        <w:tabs>
          <w:tab w:val="left" w:pos="180"/>
        </w:tabs>
        <w:ind w:right="0"/>
        <w:rPr>
          <w:b w:val="0"/>
          <w:bCs/>
          <w:lang w:val="en-AU"/>
        </w:rPr>
      </w:pPr>
      <w:bookmarkStart w:id="84" w:name="_Toc125109257"/>
      <w:bookmarkStart w:id="85" w:name="_Hlk59353864"/>
      <w:r>
        <w:rPr>
          <w:b w:val="0"/>
          <w:bCs/>
          <w:lang w:val="en-AU"/>
        </w:rPr>
        <w:t>Task 6 Resolve Issues</w:t>
      </w:r>
      <w:bookmarkEnd w:id="84"/>
    </w:p>
    <w:p>
      <w:pPr>
        <w:pStyle w:val="4"/>
        <w:rPr>
          <w:rFonts w:asciiTheme="minorHAnsi" w:hAnsiTheme="minorHAnsi" w:cstheme="minorHAnsi"/>
          <w:lang w:val="en-GB" w:bidi="en-US"/>
        </w:rPr>
      </w:pPr>
      <w:bookmarkStart w:id="86" w:name="_Toc125109258"/>
      <w:r>
        <w:rPr>
          <w:rFonts w:asciiTheme="minorHAnsi" w:hAnsiTheme="minorHAnsi" w:cstheme="minorHAnsi"/>
          <w:lang w:val="en-GB" w:bidi="en-US"/>
        </w:rPr>
        <w:t>Task 6.1 Resolve Safety Issues</w:t>
      </w:r>
      <w:bookmarkEnd w:id="86"/>
    </w:p>
    <w:bookmarkEnd w:id="85"/>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Resolve safety issues on the building and construction project you are undertaking.</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resolve safety issues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resolving safety issues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6.1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bookmarkStart w:id="87" w:name="_Hlk121225539"/>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resolving two (2) safety issues and implementing approved solutions to these safety issues, e.g., copies of communications with relevant personnel, meeting minutes, screenshots from messaging apps, hazard reports, WHS safety inspection reports and risk registers etc.</w:t>
            </w:r>
            <w:bookmarkEnd w:id="87"/>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Email evidence required of the candidate informing project staff of the implemented solution (this can be simulated with your supervisor).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Email evidence required of the candidate seeking feedback from project staff of the implemented solution (this can be simulated with your supervisor).</w:t>
            </w:r>
          </w:p>
        </w:tc>
      </w:tr>
    </w:tbl>
    <w:p>
      <w:pPr>
        <w:spacing w:after="120" w:line="276" w:lineRule="auto"/>
        <w:ind w:left="0" w:firstLine="0"/>
      </w:pPr>
      <w:r>
        <w:br w:type="page"/>
      </w:r>
    </w:p>
    <w:p>
      <w:pPr>
        <w:pStyle w:val="4"/>
        <w:rPr>
          <w:rFonts w:asciiTheme="minorHAnsi" w:hAnsiTheme="minorHAnsi" w:cstheme="minorHAnsi"/>
          <w:lang w:val="en-GB" w:bidi="en-US"/>
        </w:rPr>
      </w:pPr>
      <w:bookmarkStart w:id="88" w:name="_Toc125109259"/>
      <w:bookmarkStart w:id="89" w:name="_Hlk59353851"/>
      <w:r>
        <w:rPr>
          <w:rFonts w:asciiTheme="minorHAnsi" w:hAnsiTheme="minorHAnsi" w:cstheme="minorHAnsi"/>
          <w:lang w:val="en-GB" w:bidi="en-US"/>
        </w:rPr>
        <w:t>Task 6.2 Resolve Workplace Conflict</w:t>
      </w:r>
      <w:bookmarkEnd w:id="88"/>
    </w:p>
    <w:bookmarkEnd w:id="89"/>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Negotiate with parties involved in workplace conflicts to reach a resolution. The candidate will need to mediate a conflict resolution meeting between all relevant parties to resolve the conflict.</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Use your organisation’s template to record the minutes of this meeting, or you may use the </w:t>
            </w:r>
            <w:r>
              <w:rPr>
                <w:rFonts w:cstheme="minorHAnsi"/>
                <w:b/>
                <w:bCs/>
                <w:color w:val="252525" w:themeColor="text1" w:themeTint="D9"/>
                <w:sz w:val="24"/>
                <w:szCs w:val="24"/>
              </w:rPr>
              <w:t>Generic Meeting Minutes template</w:t>
            </w:r>
            <w:r>
              <w:rPr>
                <w:rFonts w:cstheme="minorHAnsi"/>
                <w:color w:val="252525" w:themeColor="text1" w:themeTint="D9"/>
                <w:sz w:val="24"/>
                <w:szCs w:val="24"/>
              </w:rPr>
              <w:t xml:space="preserve"> provided along with this workbook. </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negotiate and resolve workplace conflicts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negotiating and resolving workplace conflicts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6.2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Minutes of the one (1) meeting that the candidate will need to mediate between all parties involved in the conflict, including what resolution strategies were adopted to resolve the conflict.</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resolving one (1) workplace conflict associated with your building project, e.g., copies of communications with relevant personnel, meeting minutes, screenshots from reports and messaging apps, emails, Record of Conversations (RoCs) etc.</w:t>
            </w:r>
          </w:p>
        </w:tc>
      </w:tr>
    </w:tbl>
    <w:p>
      <w:pPr>
        <w:spacing w:after="120" w:line="276" w:lineRule="auto"/>
        <w:ind w:left="0" w:firstLine="0"/>
      </w:pPr>
      <w:r>
        <w:br w:type="page"/>
      </w:r>
    </w:p>
    <w:p>
      <w:pPr>
        <w:pStyle w:val="3"/>
        <w:tabs>
          <w:tab w:val="left" w:pos="180"/>
        </w:tabs>
        <w:ind w:right="0"/>
        <w:rPr>
          <w:b w:val="0"/>
          <w:bCs/>
          <w:lang w:val="en-AU"/>
        </w:rPr>
      </w:pPr>
      <w:bookmarkStart w:id="90" w:name="_Toc125109260"/>
      <w:bookmarkStart w:id="91" w:name="_Hlk59353834"/>
      <w:r>
        <w:rPr>
          <w:b w:val="0"/>
          <w:bCs/>
          <w:lang w:val="en-AU"/>
        </w:rPr>
        <w:t>Task 7 Workplace Audits</w:t>
      </w:r>
      <w:bookmarkEnd w:id="90"/>
    </w:p>
    <w:p>
      <w:pPr>
        <w:pStyle w:val="4"/>
        <w:rPr>
          <w:rFonts w:asciiTheme="minorHAnsi" w:hAnsiTheme="minorHAnsi" w:cstheme="minorHAnsi"/>
          <w:lang w:val="en-GB" w:bidi="en-US"/>
        </w:rPr>
      </w:pPr>
      <w:bookmarkStart w:id="92" w:name="_Toc125109261"/>
      <w:r>
        <w:rPr>
          <w:rFonts w:asciiTheme="minorHAnsi" w:hAnsiTheme="minorHAnsi" w:cstheme="minorHAnsi"/>
          <w:lang w:val="en-GB" w:bidi="en-US"/>
        </w:rPr>
        <w:t>Task 7.1 Monitor Control Measures</w:t>
      </w:r>
      <w:bookmarkEnd w:id="92"/>
    </w:p>
    <w:bookmarkEnd w:id="91"/>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Monitor control measures implemented on the building and construction project you are undertaking </w:t>
            </w:r>
            <w:bookmarkStart w:id="93" w:name="_Hlk121228819"/>
            <w:r>
              <w:rPr>
                <w:rFonts w:cstheme="minorHAnsi"/>
                <w:color w:val="252525" w:themeColor="text1" w:themeTint="D9"/>
                <w:sz w:val="24"/>
                <w:szCs w:val="24"/>
              </w:rPr>
              <w:t>on at least one (1) occasion throughout the project</w:t>
            </w:r>
            <w:bookmarkEnd w:id="93"/>
            <w:r>
              <w:rPr>
                <w:rFonts w:cstheme="minorHAnsi"/>
                <w:color w:val="252525" w:themeColor="text1" w:themeTint="D9"/>
                <w:sz w:val="24"/>
                <w:szCs w:val="24"/>
              </w:rPr>
              <w:t>.</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monitor implemented control measures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monitoring implemented control measures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7.1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Copies of the output from your monitoring, e.g., notes you took, checklists you completed, correspondence with relevant project personnel, etc.</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WHS regulations you accessed and reviewed</w:t>
            </w:r>
          </w:p>
        </w:tc>
      </w:tr>
    </w:tbl>
    <w:p>
      <w:pPr>
        <w:spacing w:after="120" w:line="276" w:lineRule="auto"/>
        <w:ind w:left="0" w:firstLine="0"/>
      </w:pPr>
      <w:r>
        <w:br w:type="page"/>
      </w:r>
    </w:p>
    <w:p>
      <w:pPr>
        <w:pStyle w:val="4"/>
        <w:rPr>
          <w:rFonts w:asciiTheme="minorHAnsi" w:hAnsiTheme="minorHAnsi" w:cstheme="minorHAnsi"/>
          <w:lang w:val="en-GB" w:bidi="en-US"/>
        </w:rPr>
      </w:pPr>
      <w:bookmarkStart w:id="94" w:name="_Toc125109262"/>
      <w:bookmarkStart w:id="95" w:name="_Hlk59353814"/>
      <w:bookmarkStart w:id="96" w:name="_Hlk59353824"/>
      <w:r>
        <w:rPr>
          <w:rFonts w:asciiTheme="minorHAnsi" w:hAnsiTheme="minorHAnsi" w:cstheme="minorHAnsi"/>
          <w:lang w:val="en-GB" w:bidi="en-US"/>
        </w:rPr>
        <w:t>Task 7.2 Create an Audit Report</w:t>
      </w:r>
      <w:bookmarkEnd w:id="94"/>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Create an audit report containing the following:</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Your findings from Task 7.1</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An evaluation of the effectiveness of the following on the building and construction project that you are undertaking:</w:t>
            </w:r>
          </w:p>
          <w:p>
            <w:pPr>
              <w:pStyle w:val="24"/>
              <w:numPr>
                <w:ilvl w:val="1"/>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Current safety control measures</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Recommendations to:</w:t>
            </w:r>
          </w:p>
          <w:p>
            <w:pPr>
              <w:pStyle w:val="24"/>
              <w:numPr>
                <w:ilvl w:val="1"/>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Address any non-compliance identified</w:t>
            </w:r>
          </w:p>
          <w:p>
            <w:pPr>
              <w:pStyle w:val="24"/>
              <w:numPr>
                <w:ilvl w:val="1"/>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Improve current practices</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Use your organisation’s template for preparing a site WHS audit report or you may use the </w:t>
            </w:r>
            <w:r>
              <w:rPr>
                <w:rFonts w:cstheme="minorHAnsi"/>
                <w:b/>
                <w:bCs/>
                <w:color w:val="252525" w:themeColor="text1" w:themeTint="D9"/>
                <w:sz w:val="24"/>
                <w:szCs w:val="24"/>
              </w:rPr>
              <w:t xml:space="preserve">Generic Site WHS Audit Report </w:t>
            </w:r>
            <w:r>
              <w:rPr>
                <w:rFonts w:cstheme="minorHAnsi"/>
                <w:color w:val="252525" w:themeColor="text1" w:themeTint="D9"/>
                <w:sz w:val="24"/>
                <w:szCs w:val="24"/>
              </w:rPr>
              <w:t>template provided along with this workbook.</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conduct an audit and write a report</w:t>
            </w:r>
          </w:p>
          <w:p>
            <w:pPr>
              <w:pStyle w:val="24"/>
              <w:numPr>
                <w:ilvl w:val="0"/>
                <w:numId w:val="42"/>
              </w:numPr>
              <w:spacing w:after="120" w:line="276" w:lineRule="auto"/>
              <w:ind w:right="0"/>
              <w:contextualSpacing w:val="0"/>
              <w:jc w:val="both"/>
              <w:rPr>
                <w:rFonts w:cstheme="minorHAnsi"/>
                <w:color w:val="252525" w:themeColor="text1" w:themeTint="D9"/>
                <w:sz w:val="24"/>
                <w:szCs w:val="24"/>
              </w:rPr>
            </w:pPr>
            <w:r>
              <w:rPr>
                <w:rFonts w:cstheme="minorHAnsi"/>
                <w:color w:val="252525" w:themeColor="text1" w:themeTint="D9"/>
                <w:sz w:val="24"/>
                <w:szCs w:val="24"/>
              </w:rPr>
              <w:t>Practical skills in conducting an audit and writing a report</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7.2 – Assessor’s Checklist </w:t>
            </w:r>
            <w:r>
              <w:rPr>
                <w:rFonts w:cstheme="minorHAnsi"/>
                <w:color w:val="252525" w:themeColor="text1" w:themeTint="D9"/>
                <w:sz w:val="24"/>
                <w:szCs w:val="24"/>
              </w:rPr>
              <w:t xml:space="preserve">provided along with this workbook. This form lists the criteria your site WHS audit report submission must address to complete this task satisfactorily. </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color w:val="0C0C0C" w:themeColor="text1" w:themeTint="F2"/>
                <w:sz w:val="24"/>
              </w:rPr>
            </w:pPr>
            <w:r>
              <w:rPr>
                <w:rFonts w:cstheme="minorHAnsi"/>
                <w:color w:val="252525" w:themeColor="text1" w:themeTint="D9"/>
                <w:sz w:val="24"/>
                <w:szCs w:val="24"/>
              </w:rPr>
              <w:t>The completed site WHS audit report</w:t>
            </w:r>
          </w:p>
          <w:p>
            <w:pPr>
              <w:pStyle w:val="24"/>
              <w:numPr>
                <w:ilvl w:val="0"/>
                <w:numId w:val="43"/>
              </w:numPr>
              <w:spacing w:after="120" w:line="276" w:lineRule="auto"/>
              <w:ind w:left="714" w:right="0" w:hanging="357"/>
              <w:contextualSpacing w:val="0"/>
              <w:jc w:val="both"/>
              <w:rPr>
                <w:color w:val="0C0C0C" w:themeColor="text1" w:themeTint="F2"/>
                <w:sz w:val="24"/>
              </w:rPr>
            </w:pPr>
            <w:r>
              <w:rPr>
                <w:color w:val="0C0C0C" w:themeColor="text1" w:themeTint="F2"/>
                <w:sz w:val="24"/>
              </w:rPr>
              <w:t>Copies of workplace resources that you accessed and reviewed, e.g., hazard identification forms, risk registers, documentation relevant to control measures implemented, incident reports, records of previous consultations conducted, records of WHS training conducted on the project, etc.</w:t>
            </w:r>
          </w:p>
        </w:tc>
      </w:tr>
    </w:tbl>
    <w:p>
      <w:pPr>
        <w:spacing w:after="120" w:line="276" w:lineRule="auto"/>
        <w:ind w:left="0" w:firstLine="0"/>
      </w:pPr>
      <w:r>
        <w:br w:type="page"/>
      </w:r>
    </w:p>
    <w:p>
      <w:pPr>
        <w:pStyle w:val="4"/>
        <w:rPr>
          <w:rFonts w:asciiTheme="minorHAnsi" w:hAnsiTheme="minorHAnsi" w:cstheme="minorHAnsi"/>
          <w:lang w:val="en-GB" w:bidi="en-US"/>
        </w:rPr>
      </w:pPr>
      <w:bookmarkStart w:id="97" w:name="_Toc125109263"/>
      <w:r>
        <w:rPr>
          <w:rFonts w:asciiTheme="minorHAnsi" w:hAnsiTheme="minorHAnsi" w:cstheme="minorHAnsi"/>
          <w:lang w:val="en-GB" w:bidi="en-US"/>
        </w:rPr>
        <w:t>Task 7.3 Address Non-Compliance</w:t>
      </w:r>
      <w:bookmarkEnd w:id="97"/>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Implement the recommended actions from your report in Task 7.2 to address non-compliance.</w:t>
            </w:r>
          </w:p>
          <w:p>
            <w:pPr>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 will be assessed on:</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Practical knowledge of how to implement actions to address WHS non-compliance</w:t>
            </w:r>
          </w:p>
          <w:p>
            <w:pPr>
              <w:pStyle w:val="24"/>
              <w:numPr>
                <w:ilvl w:val="0"/>
                <w:numId w:val="42"/>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b/>
            </w:r>
            <w:r>
              <w:rPr>
                <w:rFonts w:cstheme="minorHAnsi"/>
                <w:color w:val="252525" w:themeColor="text1" w:themeTint="D9"/>
                <w:sz w:val="24"/>
                <w:szCs w:val="24"/>
              </w:rPr>
              <w:t>Practical skills in implementing actions to address WHS non-compliance</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 xml:space="preserve">Before starting this task, review the </w:t>
            </w:r>
            <w:r>
              <w:rPr>
                <w:rFonts w:cstheme="minorHAnsi"/>
                <w:b/>
                <w:bCs/>
                <w:color w:val="252525" w:themeColor="text1" w:themeTint="D9"/>
                <w:sz w:val="24"/>
                <w:szCs w:val="24"/>
              </w:rPr>
              <w:t xml:space="preserve">Workplace Assessment Task 7.3 – Assessor’s Checklist </w:t>
            </w:r>
            <w:r>
              <w:rPr>
                <w:rFonts w:cstheme="minorHAnsi"/>
                <w:color w:val="252525" w:themeColor="text1" w:themeTint="D9"/>
                <w:sz w:val="24"/>
                <w:szCs w:val="24"/>
              </w:rPr>
              <w:t>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Your assessor will also:</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Address your queries and concerns regarding this task.</w:t>
            </w:r>
          </w:p>
          <w:p>
            <w:pPr>
              <w:tabs>
                <w:tab w:val="left" w:pos="180"/>
              </w:tabs>
              <w:spacing w:after="120" w:line="276" w:lineRule="auto"/>
              <w:ind w:left="0" w:right="0" w:firstLine="0"/>
              <w:jc w:val="both"/>
              <w:rPr>
                <w:rFonts w:cstheme="minorHAnsi"/>
                <w:color w:val="252525" w:themeColor="text1" w:themeTint="D9"/>
                <w:sz w:val="24"/>
                <w:szCs w:val="24"/>
              </w:rPr>
            </w:pPr>
            <w:r>
              <w:rPr>
                <w:rFonts w:cstheme="minorHAnsi"/>
                <w:color w:val="252525" w:themeColor="text1" w:themeTint="D9"/>
                <w:sz w:val="24"/>
                <w:szCs w:val="24"/>
              </w:rPr>
              <w:t>After completing this task, submit the following to your assessor:</w:t>
            </w:r>
          </w:p>
          <w:p>
            <w:pPr>
              <w:pStyle w:val="24"/>
              <w:numPr>
                <w:ilvl w:val="0"/>
                <w:numId w:val="43"/>
              </w:numPr>
              <w:spacing w:after="120" w:line="276" w:lineRule="auto"/>
              <w:ind w:left="714" w:right="0" w:hanging="357"/>
              <w:contextualSpacing w:val="0"/>
              <w:jc w:val="both"/>
              <w:rPr>
                <w:rFonts w:cstheme="minorHAnsi"/>
                <w:color w:val="252525" w:themeColor="text1" w:themeTint="D9"/>
                <w:sz w:val="24"/>
                <w:szCs w:val="24"/>
              </w:rPr>
            </w:pPr>
            <w:r>
              <w:rPr>
                <w:rFonts w:cstheme="minorHAnsi"/>
                <w:color w:val="252525" w:themeColor="text1" w:themeTint="D9"/>
                <w:sz w:val="24"/>
                <w:szCs w:val="24"/>
              </w:rPr>
              <w:t>Evidence of implementing the recommended actions from the candidate’s WHS Audit Report from Task 7.2 e.g., copies of communications with relevant personnel, meeting minutes, screenshots from messaging apps, hazard reports, WHS safety audit/inspection reports and risk registers etc.</w:t>
            </w:r>
          </w:p>
        </w:tc>
      </w:tr>
      <w:bookmarkEnd w:id="95"/>
    </w:tbl>
    <w:p>
      <w:pPr>
        <w:spacing w:after="120" w:line="276" w:lineRule="auto"/>
        <w:ind w:left="0" w:firstLine="0"/>
      </w:pPr>
      <w:r>
        <w:br w:type="page"/>
      </w:r>
    </w:p>
    <w:bookmarkEnd w:id="76"/>
    <w:bookmarkEnd w:id="77"/>
    <w:bookmarkEnd w:id="96"/>
    <w:p>
      <w:pPr>
        <w:pStyle w:val="2"/>
        <w:rPr>
          <w:lang w:val="en-AU"/>
        </w:rPr>
      </w:pPr>
      <w:bookmarkStart w:id="98" w:name="_Toc125109264"/>
      <w:r>
        <w:rPr>
          <w:lang w:val="en-AU"/>
        </w:rPr>
        <w:t>Assessment Workbook Checklist</w:t>
      </w:r>
      <w:bookmarkEnd w:id="98"/>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52525" w:themeColor="text1" w:themeTint="D9"/>
                <w:sz w:val="24"/>
              </w:rPr>
            </w:pPr>
            <w:r>
              <w:rPr>
                <w:b/>
                <w:color w:val="252525" w:themeColor="text1" w:themeTint="D9"/>
                <w:sz w:val="24"/>
              </w:rPr>
              <w:t>TO THE CANDIDATE</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When you have completed this assessment workbook, review your work, and ensure that:</w:t>
            </w:r>
          </w:p>
          <w:p>
            <w:pPr>
              <w:pStyle w:val="24"/>
              <w:numPr>
                <w:ilvl w:val="0"/>
                <w:numId w:val="44"/>
              </w:numPr>
              <w:tabs>
                <w:tab w:val="left" w:pos="180"/>
              </w:tabs>
              <w:spacing w:after="120" w:line="276" w:lineRule="auto"/>
              <w:ind w:right="0"/>
              <w:contextualSpacing w:val="0"/>
              <w:jc w:val="both"/>
              <w:rPr>
                <w:color w:val="252525" w:themeColor="text1" w:themeTint="D9"/>
                <w:sz w:val="24"/>
              </w:rPr>
            </w:pPr>
            <w:r>
              <w:rPr>
                <w:b/>
                <w:color w:val="252525" w:themeColor="text1" w:themeTint="D9"/>
                <w:sz w:val="24"/>
              </w:rPr>
              <w:t>You have completed all the Knowledge Assessments Questions.</w:t>
            </w:r>
          </w:p>
          <w:p>
            <w:pPr>
              <w:pStyle w:val="24"/>
              <w:numPr>
                <w:ilvl w:val="0"/>
                <w:numId w:val="4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You have completed the Practical Assessments in this workbook</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Practical Assignment</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1</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2</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3</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4</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5</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2.1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2.2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3.1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3.2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4</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5</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6.1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6.2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7.3</w:t>
            </w:r>
          </w:p>
          <w:p>
            <w:pPr>
              <w:pStyle w:val="24"/>
              <w:numPr>
                <w:ilvl w:val="0"/>
                <w:numId w:val="4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You have saved and submitted the following evidence:</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This completed workbook</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Assessment Workbook Cover Sheet signed and scanned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44"/>
              </w:numPr>
              <w:tabs>
                <w:tab w:val="left" w:pos="180"/>
              </w:tabs>
              <w:spacing w:after="120" w:line="276" w:lineRule="auto"/>
              <w:ind w:right="0"/>
              <w:contextualSpacing w:val="0"/>
              <w:jc w:val="both"/>
              <w:rPr>
                <w:color w:val="252525" w:themeColor="text1" w:themeTint="D9"/>
                <w:sz w:val="24"/>
              </w:rPr>
            </w:pPr>
            <w:r>
              <w:rPr>
                <w:b/>
                <w:color w:val="252525" w:themeColor="text1" w:themeTint="D9"/>
                <w:sz w:val="24"/>
              </w:rPr>
              <w:t>You have saved and submitted the following evidence:</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Hazard identification form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Risk register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WHS legislative requirements and organisational policies that are applicable to control measures required on the building and construction project</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hazard identification form and risk register</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2.1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relevant communication with workers during the consultation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2.2</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relevant communication with WHS experts during the consultation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3.1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Workplace inspection report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workplace inspection report</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3.2</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rFonts w:cstheme="minorHAnsi"/>
                <w:color w:val="252525" w:themeColor="text1" w:themeTint="D9"/>
                <w:sz w:val="24"/>
                <w:szCs w:val="24"/>
              </w:rPr>
              <w:t>Workplace safety plan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workplace safety plan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4</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delegating and assigning roles for relevant personnel involving in the implementation of the processes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supervising the implementation of the processes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reviewing the output of the implementation and providing feedback to the personnel involved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5</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Completion of a training schedule, which identifies the training provider, duration of training, cost of training and any required experience that is expected from the participants.</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6.1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resolving two (2) safety issues and implementing approved solutions to these safety issues.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Email evidence required of the candidate informing project staff of the implemented solution.</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Email evidence required of the candidate seeking feedback from project staff of the implemented solution.</w:t>
            </w:r>
          </w:p>
          <w:p>
            <w:pPr>
              <w:pStyle w:val="24"/>
              <w:numPr>
                <w:ilvl w:val="0"/>
                <w:numId w:val="44"/>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Workplace Assessment Task 6.2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Minutes of the one (1) meeting that the candidate will need to mediate between all parties involved in the conflict, including what resolution strategies were adopted to resolve the conflict.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resolving one (1) workplace conflict associated with your building project</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 Task 7.1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the output from their monitoring of control measures implemented</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WHS regulations that they accessed and reviewed</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 Task 7.2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Site WHS audit report completed</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workplace resources that were accessed and reviewed to complete the site WHS audit report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project documents that were accessed and reviewed to complete the site WHS audit report</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To be </w:t>
            </w:r>
            <w:r>
              <w:rPr>
                <w:rFonts w:cstheme="minorHAnsi"/>
                <w:color w:val="252525" w:themeColor="text1" w:themeTint="D9"/>
                <w:sz w:val="24"/>
                <w:lang w:bidi="en-US"/>
              </w:rPr>
              <w:t>deemed</w:t>
            </w:r>
            <w:r>
              <w:rPr>
                <w:color w:val="252525" w:themeColor="text1" w:themeTint="D9"/>
                <w:sz w:val="24"/>
              </w:rPr>
              <w:t xml:space="preserve"> competent in the unit</w:t>
            </w:r>
            <w:r>
              <w:rPr>
                <w:rFonts w:cstheme="minorHAnsi"/>
                <w:color w:val="252525" w:themeColor="text1" w:themeTint="D9"/>
                <w:sz w:val="24"/>
                <w:lang w:bidi="en-US"/>
              </w:rPr>
              <w:t>/</w:t>
            </w:r>
            <w:r>
              <w:rPr>
                <w:color w:val="252525" w:themeColor="text1" w:themeTint="D9"/>
                <w:sz w:val="24"/>
              </w:rPr>
              <w:t>s of competency relevant to this workbook, you must successfully complete all the requirements listed above according to the prescribed benchmarks provided to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52525" w:themeColor="text1" w:themeTint="D9"/>
                <w:sz w:val="24"/>
              </w:rPr>
            </w:pPr>
            <w:r>
              <w:rPr>
                <w:b/>
                <w:color w:val="252525" w:themeColor="text1" w:themeTint="D9"/>
                <w:sz w:val="24"/>
              </w:rPr>
              <w:t>TO THE ASSESSOR</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When you have completed assessing the assessment workbook, review the candidate’s submission against the checklist below:</w:t>
            </w:r>
          </w:p>
          <w:p>
            <w:pPr>
              <w:pStyle w:val="24"/>
              <w:numPr>
                <w:ilvl w:val="0"/>
                <w:numId w:val="44"/>
              </w:numPr>
              <w:tabs>
                <w:tab w:val="left" w:pos="180"/>
              </w:tabs>
              <w:spacing w:after="120" w:line="276" w:lineRule="auto"/>
              <w:ind w:right="0"/>
              <w:contextualSpacing w:val="0"/>
              <w:jc w:val="both"/>
              <w:rPr>
                <w:color w:val="252525" w:themeColor="text1" w:themeTint="D9"/>
                <w:sz w:val="24"/>
              </w:rPr>
            </w:pPr>
            <w:r>
              <w:rPr>
                <w:b/>
                <w:color w:val="252525" w:themeColor="text1" w:themeTint="D9"/>
                <w:sz w:val="24"/>
              </w:rPr>
              <w:t>The candidate has completed all the Knowledge Assessments Questions.</w:t>
            </w:r>
          </w:p>
          <w:p>
            <w:pPr>
              <w:pStyle w:val="24"/>
              <w:numPr>
                <w:ilvl w:val="0"/>
                <w:numId w:val="4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The candidate has completed the Practical Assessments in this workbook</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Practical Assignment</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1</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2</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3</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4</w:t>
            </w:r>
          </w:p>
          <w:p>
            <w:pPr>
              <w:pStyle w:val="24"/>
              <w:numPr>
                <w:ilvl w:val="0"/>
                <w:numId w:val="44"/>
              </w:numPr>
              <w:tabs>
                <w:tab w:val="left" w:pos="180"/>
              </w:tabs>
              <w:spacing w:after="120" w:line="276" w:lineRule="auto"/>
              <w:ind w:left="1800" w:right="0"/>
              <w:contextualSpacing w:val="0"/>
              <w:jc w:val="both"/>
              <w:rPr>
                <w:color w:val="0C0C0C" w:themeColor="text1" w:themeTint="F2"/>
                <w:sz w:val="24"/>
              </w:rPr>
            </w:pPr>
            <w:r>
              <w:rPr>
                <w:color w:val="252525" w:themeColor="text1" w:themeTint="D9"/>
                <w:sz w:val="24"/>
              </w:rPr>
              <w:t>Task 5</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2.1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2.2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3.1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3.2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4</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5</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6.1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6.2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Task 7.3</w:t>
            </w:r>
          </w:p>
          <w:p>
            <w:pPr>
              <w:pStyle w:val="24"/>
              <w:numPr>
                <w:ilvl w:val="0"/>
                <w:numId w:val="44"/>
              </w:numPr>
              <w:tabs>
                <w:tab w:val="left" w:pos="180"/>
              </w:tabs>
              <w:spacing w:after="120" w:line="276" w:lineRule="auto"/>
              <w:ind w:right="0"/>
              <w:contextualSpacing w:val="0"/>
              <w:jc w:val="both"/>
              <w:rPr>
                <w:b/>
                <w:color w:val="252525" w:themeColor="text1" w:themeTint="D9"/>
                <w:sz w:val="24"/>
              </w:rPr>
            </w:pPr>
            <w:r>
              <w:rPr>
                <w:b/>
                <w:color w:val="252525" w:themeColor="text1" w:themeTint="D9"/>
                <w:sz w:val="24"/>
              </w:rPr>
              <w:t>The candidate has saved and submitted the following evidence:</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This completed workbook</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Assessment Workbook Cover Sheet signed and scanned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44"/>
              </w:numPr>
              <w:tabs>
                <w:tab w:val="left" w:pos="180"/>
              </w:tabs>
              <w:spacing w:after="120" w:line="276" w:lineRule="auto"/>
              <w:ind w:left="731" w:right="0"/>
              <w:contextualSpacing w:val="0"/>
              <w:jc w:val="both"/>
              <w:rPr>
                <w:color w:val="252525" w:themeColor="text1" w:themeTint="D9"/>
                <w:sz w:val="24"/>
              </w:rPr>
            </w:pPr>
            <w:r>
              <w:rPr>
                <w:b/>
                <w:color w:val="252525" w:themeColor="text1" w:themeTint="D9"/>
                <w:sz w:val="24"/>
              </w:rPr>
              <w:t>The candidate has saved and submitted the following evidence:</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Hazard identification form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Risk register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WHS legislative requirements and organisational policies that are applicable to control measures required on the building and construction project</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hazard identification form and risk register</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2.1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relevant communication with workers during the consultation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2.2</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relevant communication with WHS experts during the consultation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3.1</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Workplace inspection report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workplace inspection report</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3.2</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rFonts w:cstheme="minorHAnsi"/>
                <w:color w:val="252525" w:themeColor="text1" w:themeTint="D9"/>
                <w:sz w:val="24"/>
                <w:szCs w:val="24"/>
              </w:rPr>
              <w:t>Workplace safety plan completed</w:t>
            </w:r>
          </w:p>
          <w:p>
            <w:pPr>
              <w:pStyle w:val="24"/>
              <w:numPr>
                <w:ilvl w:val="0"/>
                <w:numId w:val="44"/>
              </w:numPr>
              <w:tabs>
                <w:tab w:val="left" w:pos="180"/>
              </w:tabs>
              <w:spacing w:after="120" w:line="276" w:lineRule="auto"/>
              <w:ind w:left="1800" w:right="0" w:hanging="357"/>
              <w:contextualSpacing w:val="0"/>
              <w:jc w:val="both"/>
              <w:rPr>
                <w:color w:val="252525" w:themeColor="text1" w:themeTint="D9"/>
                <w:sz w:val="24"/>
              </w:rPr>
            </w:pPr>
            <w:r>
              <w:rPr>
                <w:color w:val="252525" w:themeColor="text1" w:themeTint="D9"/>
                <w:sz w:val="24"/>
              </w:rPr>
              <w:t>Copies of project documents that were accessed and reviewed to complete the workplace safety plan</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4</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delegating and assigning roles for relevant personnel involving in the implementation of the processes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supervising the implementation of the processes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reviewing the output of the implementation and providing feedback to the personnel involved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5</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Completion of a training schedule, which identifies the training provider, duration of training, cost of training and any required experience that is expected from the participants.</w:t>
            </w:r>
          </w:p>
          <w:p>
            <w:pPr>
              <w:pStyle w:val="24"/>
              <w:numPr>
                <w:ilvl w:val="0"/>
                <w:numId w:val="44"/>
              </w:numPr>
              <w:tabs>
                <w:tab w:val="left" w:pos="180"/>
              </w:tabs>
              <w:spacing w:after="120" w:line="276" w:lineRule="auto"/>
              <w:ind w:left="1260" w:right="0" w:hanging="357"/>
              <w:contextualSpacing w:val="0"/>
              <w:jc w:val="both"/>
              <w:rPr>
                <w:color w:val="252525" w:themeColor="text1" w:themeTint="D9"/>
                <w:sz w:val="24"/>
              </w:rPr>
            </w:pPr>
            <w:r>
              <w:rPr>
                <w:color w:val="252525" w:themeColor="text1" w:themeTint="D9"/>
                <w:sz w:val="24"/>
              </w:rPr>
              <w:t>Workplace Assessment Task 6.1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resolving two (2) safety issues and implementing approved solutions to these safety issues.</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Email evidence required of the candidate informing project staff of the implemented solution.</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Email evidence required of the candidate seeking feedback from project staff of the implemented solution.</w:t>
            </w:r>
          </w:p>
          <w:p>
            <w:pPr>
              <w:pStyle w:val="24"/>
              <w:numPr>
                <w:ilvl w:val="0"/>
                <w:numId w:val="44"/>
              </w:numPr>
              <w:tabs>
                <w:tab w:val="left" w:pos="180"/>
              </w:tabs>
              <w:spacing w:after="120" w:line="276" w:lineRule="auto"/>
              <w:ind w:right="0"/>
              <w:contextualSpacing w:val="0"/>
              <w:jc w:val="both"/>
              <w:rPr>
                <w:color w:val="252525" w:themeColor="text1" w:themeTint="D9"/>
                <w:sz w:val="24"/>
              </w:rPr>
            </w:pPr>
            <w:r>
              <w:rPr>
                <w:color w:val="252525" w:themeColor="text1" w:themeTint="D9"/>
                <w:sz w:val="24"/>
              </w:rPr>
              <w:t>Workplace Assessment Task 6.2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Minutes of the one (1) meeting that the candidate will need to mediate between all parties involved in the conflict, including what resolution strategies were adopted to resolve the conflict.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Evidence of resolving one (1) workplace conflict associated with your building project</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 Task 7.1</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the output from their monitoring of control measures implemented</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WHS regulations that they accessed and reviewed</w:t>
            </w:r>
          </w:p>
          <w:p>
            <w:pPr>
              <w:pStyle w:val="24"/>
              <w:numPr>
                <w:ilvl w:val="0"/>
                <w:numId w:val="44"/>
              </w:numPr>
              <w:tabs>
                <w:tab w:val="left" w:pos="180"/>
              </w:tabs>
              <w:spacing w:after="120" w:line="276" w:lineRule="auto"/>
              <w:ind w:left="1260" w:right="0"/>
              <w:contextualSpacing w:val="0"/>
              <w:jc w:val="both"/>
              <w:rPr>
                <w:color w:val="252525" w:themeColor="text1" w:themeTint="D9"/>
                <w:sz w:val="24"/>
              </w:rPr>
            </w:pPr>
            <w:r>
              <w:rPr>
                <w:color w:val="252525" w:themeColor="text1" w:themeTint="D9"/>
                <w:sz w:val="24"/>
              </w:rPr>
              <w:t>Workplace Assessment Task 7.2</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Site WHS audit report completed</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workplace resources that were accessed and reviewed to complete the site WHS audit report</w:t>
            </w:r>
          </w:p>
          <w:p>
            <w:pPr>
              <w:pStyle w:val="24"/>
              <w:numPr>
                <w:ilvl w:val="0"/>
                <w:numId w:val="44"/>
              </w:numPr>
              <w:tabs>
                <w:tab w:val="left" w:pos="180"/>
              </w:tabs>
              <w:spacing w:after="120" w:line="276" w:lineRule="auto"/>
              <w:ind w:left="1800" w:right="0"/>
              <w:contextualSpacing w:val="0"/>
              <w:jc w:val="both"/>
              <w:rPr>
                <w:color w:val="252525" w:themeColor="text1" w:themeTint="D9"/>
                <w:sz w:val="24"/>
              </w:rPr>
            </w:pPr>
            <w:r>
              <w:rPr>
                <w:color w:val="252525" w:themeColor="text1" w:themeTint="D9"/>
                <w:sz w:val="24"/>
              </w:rPr>
              <w:t>Copies of project documents that were accessed and reviewed to complete the site WHS audit report</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52525" w:themeColor="text1" w:themeTint="D9"/>
                <w:sz w:val="24"/>
              </w:rPr>
            </w:pPr>
            <w:r>
              <w:rPr>
                <w:color w:val="252525" w:themeColor="text1" w:themeTint="D9"/>
                <w:sz w:val="24"/>
              </w:rPr>
              <w:t xml:space="preserve">To </w:t>
            </w:r>
            <w:r>
              <w:rPr>
                <w:rFonts w:cstheme="minorHAnsi"/>
                <w:color w:val="252525" w:themeColor="text1" w:themeTint="D9"/>
                <w:sz w:val="24"/>
                <w:lang w:bidi="en-US"/>
              </w:rPr>
              <w:t>be deemed</w:t>
            </w:r>
            <w:r>
              <w:rPr>
                <w:color w:val="252525" w:themeColor="text1" w:themeTint="D9"/>
                <w:sz w:val="24"/>
              </w:rPr>
              <w:t xml:space="preserve"> competent in the unit</w:t>
            </w:r>
            <w:r>
              <w:rPr>
                <w:rFonts w:cstheme="minorHAnsi"/>
                <w:color w:val="252525" w:themeColor="text1" w:themeTint="D9"/>
                <w:sz w:val="24"/>
                <w:lang w:bidi="en-US"/>
              </w:rPr>
              <w:t>/</w:t>
            </w:r>
            <w:r>
              <w:rPr>
                <w:color w:val="252525" w:themeColor="text1" w:themeTint="D9"/>
                <w:sz w:val="24"/>
              </w:rPr>
              <w:t>s</w:t>
            </w:r>
            <w:r>
              <w:rPr>
                <w:rFonts w:cstheme="minorHAnsi"/>
                <w:color w:val="252525" w:themeColor="text1" w:themeTint="D9"/>
                <w:sz w:val="24"/>
                <w:lang w:bidi="en-US"/>
              </w:rPr>
              <w:t xml:space="preserve"> of competency</w:t>
            </w:r>
            <w:r>
              <w:rPr>
                <w:color w:val="252525" w:themeColor="text1" w:themeTint="D9"/>
                <w:sz w:val="24"/>
              </w:rPr>
              <w:t xml:space="preserve"> relevant to this workbook, the candidate must successfully complete all the requirements listed above according to the prescribed benchmarks.</w:t>
            </w:r>
          </w:p>
        </w:tc>
      </w:tr>
    </w:tbl>
    <w:p>
      <w:pPr>
        <w:pStyle w:val="2"/>
        <w:rPr>
          <w:lang w:val="en-AU"/>
        </w:rPr>
      </w:pPr>
      <w:bookmarkStart w:id="99" w:name="_Toc125109265"/>
      <w:r>
        <w:rPr>
          <w:lang w:val="en-AU"/>
        </w:rPr>
        <w:t>Record of Assessment (Assessor’s Use Only)</w:t>
      </w:r>
      <w:bookmarkEnd w:id="99"/>
    </w:p>
    <w:tbl>
      <w:tblPr>
        <w:tblStyle w:val="18"/>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rPr>
            </w:pPr>
            <w:r>
              <w:rPr>
                <w:rFonts w:ascii="Arial" w:hAnsi="Arial" w:cs="Arial"/>
                <w:b/>
                <w:caps/>
                <w:color w:val="FFFFFF" w:themeColor="background1"/>
                <w:sz w:val="24"/>
                <w:szCs w:val="24"/>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b/>
                <w:color w:val="252525" w:themeColor="text1" w:themeTint="D9"/>
                <w:sz w:val="20"/>
                <w:szCs w:val="20"/>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jc w:val="both"/>
              <w:rPr>
                <w:rFonts w:cstheme="minorHAnsi"/>
                <w:color w:val="252525" w:themeColor="text1" w:themeTint="D9"/>
                <w:sz w:val="20"/>
                <w:szCs w:val="20"/>
              </w:rPr>
            </w:pPr>
            <w:r>
              <w:rPr>
                <w:rFonts w:cstheme="minorHAnsi"/>
                <w:color w:val="252525" w:themeColor="text1" w:themeTint="D9"/>
                <w:sz w:val="20"/>
                <w:szCs w:val="20"/>
              </w:rPr>
              <w:t>CPCCBC4002 - Manage work health and safety in the building and construction workplace (Release 2)</w:t>
            </w:r>
          </w:p>
        </w:tc>
      </w:tr>
    </w:tbl>
    <w:p>
      <w:pPr>
        <w:spacing w:before="0"/>
        <w:ind w:left="0" w:firstLine="0"/>
        <w:jc w:val="both"/>
        <w:rPr>
          <w:rFonts w:ascii="Arial" w:hAnsi="Arial" w:cs="Arial"/>
          <w:b/>
          <w:bCs/>
          <w:highlight w:val="cyan"/>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6</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7</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8</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9</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10</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11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Question 12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bl>
    <w:p>
      <w:pPr>
        <w:tabs>
          <w:tab w:val="left" w:pos="180"/>
        </w:tabs>
        <w:spacing w:before="0" w:line="276" w:lineRule="auto"/>
        <w:ind w:left="0" w:right="0" w:firstLine="0"/>
        <w:rPr>
          <w:color w:val="D73329"/>
        </w:rPr>
      </w:pPr>
    </w:p>
    <w:p>
      <w:pPr>
        <w:spacing w:after="120" w:line="276" w:lineRule="auto"/>
        <w:rPr>
          <w:color w:val="D73329"/>
        </w:rPr>
      </w:pPr>
      <w:r>
        <w:rPr>
          <w:color w:val="D73329"/>
        </w:rP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Practical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2.1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2.2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3.1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Task 3.2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4</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5</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6.1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6.2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7.1</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7.2</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highlight w:val="yellow"/>
              </w:rPr>
            </w:pPr>
            <w:r>
              <w:rPr>
                <w:rFonts w:ascii="Arial" w:hAnsi="Arial" w:cs="Arial"/>
                <w:color w:val="252525" w:themeColor="text1" w:themeTint="D9"/>
                <w:sz w:val="20"/>
                <w:szCs w:val="20"/>
              </w:rPr>
              <w:t>Task 7.3</w:t>
            </w:r>
          </w:p>
        </w:tc>
        <w:tc>
          <w:tcPr>
            <w:tcW w:w="1315"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Wingdings" w:hAnsi="Wingdings" w:eastAsia="Wingdings" w:cs="Wingdings"/>
                <w:color w:val="252525" w:themeColor="text1" w:themeTint="D9"/>
                <w:sz w:val="20"/>
                <w:szCs w:val="20"/>
              </w:rPr>
            </w:pPr>
            <w:r>
              <w:rPr>
                <w:rFonts w:ascii="Wingdings" w:hAnsi="Wingdings" w:eastAsia="Wingdings" w:cs="Wingdings"/>
                <w:color w:val="252525" w:themeColor="text1" w:themeTint="D9"/>
                <w:sz w:val="20"/>
                <w:szCs w:val="20"/>
              </w:rPr>
              <w:t>o</w:t>
            </w:r>
          </w:p>
        </w:tc>
      </w:tr>
    </w:tbl>
    <w:p>
      <w:pPr>
        <w:spacing w:after="120" w:line="276" w:lineRule="auto"/>
        <w:ind w:left="0" w:firstLine="0"/>
      </w:pPr>
      <w:r>
        <w:br w:type="page"/>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20"/>
                <w:szCs w:val="20"/>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bl>
    <w:p>
      <w:pPr>
        <w:tabs>
          <w:tab w:val="left" w:pos="180"/>
        </w:tabs>
        <w:spacing w:before="0" w:line="276" w:lineRule="auto"/>
        <w:ind w:left="0" w:right="0" w:firstLine="0"/>
        <w:rPr>
          <w:color w:val="252525" w:themeColor="text1" w:themeTint="D9"/>
        </w:r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Signature Authentication Checklist</w:t>
            </w:r>
          </w:p>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52525" w:themeColor="text1" w:themeTint="D9"/>
                <w:sz w:val="20"/>
                <w:szCs w:val="20"/>
              </w:rPr>
            </w:pPr>
            <w:r>
              <w:rPr>
                <w:rFonts w:ascii="Arial" w:hAnsi="Arial" w:cs="Arial"/>
                <w:b/>
                <w:color w:val="252525" w:themeColor="text1" w:themeTint="D9"/>
                <w:sz w:val="20"/>
                <w:szCs w:val="20"/>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52525" w:themeColor="text1" w:themeTint="D9"/>
                <w:sz w:val="20"/>
                <w:szCs w:val="20"/>
              </w:rPr>
            </w:pPr>
            <w:r>
              <w:rPr>
                <w:rFonts w:ascii="Wingdings" w:hAnsi="Wingdings" w:eastAsia="Wingdings" w:cs="Wingdings"/>
                <w:color w:val="252525" w:themeColor="text1" w:themeTint="D9"/>
                <w:sz w:val="20"/>
                <w:szCs w:val="20"/>
              </w:rPr>
              <w:t>o</w:t>
            </w:r>
          </w:p>
        </w:tc>
      </w:tr>
    </w:tbl>
    <w:p>
      <w:pPr>
        <w:spacing w:before="0" w:line="276" w:lineRule="auto"/>
        <w:ind w:left="0" w:firstLine="0"/>
        <w:rPr>
          <w:color w:val="252525" w:themeColor="text1" w:themeTint="D9"/>
        </w:rPr>
        <w:sectPr>
          <w:footerReference r:id="rId5" w:type="default"/>
          <w:footerReference r:id="rId6" w:type="even"/>
          <w:pgSz w:w="11906" w:h="16838"/>
          <w:pgMar w:top="1440" w:right="1440" w:bottom="1440" w:left="1440" w:header="706" w:footer="706" w:gutter="0"/>
          <w:cols w:space="708" w:num="1"/>
          <w:docGrid w:linePitch="360" w:charSpace="0"/>
        </w:sectPr>
      </w:pPr>
    </w:p>
    <w:tbl>
      <w:tblPr>
        <w:tblStyle w:val="1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52525" w:themeColor="text1" w:themeTint="D9"/>
                <w:sz w:val="20"/>
                <w:szCs w:val="20"/>
              </w:rPr>
            </w:pPr>
            <w:bookmarkStart w:id="100" w:name="_Hlk118890602"/>
            <w:r>
              <w:rPr>
                <w:rFonts w:ascii="Arial" w:hAnsi="Arial" w:cs="Arial"/>
                <w:b/>
                <w:color w:val="252525" w:themeColor="text1" w:themeTint="D9"/>
                <w:sz w:val="20"/>
                <w:szCs w:val="20"/>
              </w:rPr>
              <w:t>Third-Party Verification Log</w:t>
            </w:r>
          </w:p>
          <w:p>
            <w:pPr>
              <w:tabs>
                <w:tab w:val="left" w:pos="180"/>
              </w:tabs>
              <w:spacing w:after="120" w:line="276" w:lineRule="auto"/>
              <w:ind w:left="0" w:right="0" w:firstLine="0"/>
              <w:jc w:val="both"/>
              <w:rPr>
                <w:rFonts w:ascii="Arial" w:hAnsi="Arial" w:cs="Arial"/>
                <w:b/>
                <w:color w:val="252525" w:themeColor="text1" w:themeTint="D9"/>
                <w:sz w:val="20"/>
                <w:szCs w:val="20"/>
              </w:rPr>
            </w:pPr>
            <w:r>
              <w:rPr>
                <w:rFonts w:ascii="Arial" w:hAnsi="Arial" w:cs="Arial"/>
                <w:b/>
                <w:color w:val="252525" w:themeColor="text1" w:themeTint="D9"/>
                <w:sz w:val="20"/>
                <w:szCs w:val="20"/>
              </w:rPr>
              <w:t>Instructions for the Assessor:</w:t>
            </w:r>
          </w:p>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Complete this Third-Party Verification Log to document your completion of this process. When completing this log, provide all of the following required information for each third-party personnel:</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52525" w:themeColor="text1" w:themeTint="D9"/>
                <w:sz w:val="20"/>
                <w:szCs w:val="20"/>
              </w:rPr>
            </w:pPr>
            <w:r>
              <w:rPr>
                <w:rFonts w:ascii="Arial" w:hAnsi="Arial" w:cs="Arial"/>
                <w:color w:val="252525" w:themeColor="text1" w:themeTint="D9"/>
                <w:sz w:val="20"/>
                <w:szCs w:val="20"/>
              </w:rPr>
              <w:t>Name of third-party personnel contacted</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52525" w:themeColor="text1" w:themeTint="D9"/>
                <w:sz w:val="20"/>
                <w:szCs w:val="20"/>
              </w:rPr>
            </w:pPr>
            <w:r>
              <w:rPr>
                <w:rFonts w:ascii="Arial" w:hAnsi="Arial" w:cs="Arial"/>
                <w:color w:val="252525" w:themeColor="text1" w:themeTint="D9"/>
                <w:sz w:val="20"/>
                <w:szCs w:val="20"/>
              </w:rPr>
              <w:t>Relevant qualifications and/or experience of Third-party personnel contacted</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52525" w:themeColor="text1" w:themeTint="D9"/>
                <w:sz w:val="20"/>
                <w:szCs w:val="20"/>
              </w:rPr>
            </w:pPr>
            <w:r>
              <w:rPr>
                <w:rFonts w:ascii="Arial" w:hAnsi="Arial" w:cs="Arial"/>
                <w:color w:val="252525" w:themeColor="text1" w:themeTint="D9"/>
                <w:sz w:val="20"/>
                <w:szCs w:val="20"/>
              </w:rPr>
              <w:t>Role in the candidate’s assessment (e.g. workplace supervisor, observer, or candidate)</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52525" w:themeColor="text1" w:themeTint="D9"/>
                <w:sz w:val="20"/>
                <w:szCs w:val="20"/>
              </w:rPr>
            </w:pPr>
            <w:r>
              <w:rPr>
                <w:rFonts w:ascii="Arial" w:hAnsi="Arial" w:cs="Arial"/>
                <w:color w:val="252525" w:themeColor="text1" w:themeTint="D9"/>
                <w:sz w:val="20"/>
                <w:szCs w:val="20"/>
              </w:rPr>
              <w:t>Contact details (phone number or email address)</w:t>
            </w:r>
          </w:p>
          <w:p>
            <w:pPr>
              <w:pStyle w:val="24"/>
              <w:numPr>
                <w:ilvl w:val="0"/>
                <w:numId w:val="45"/>
              </w:numPr>
              <w:tabs>
                <w:tab w:val="left" w:pos="180"/>
              </w:tabs>
              <w:spacing w:before="60" w:after="120" w:line="276" w:lineRule="auto"/>
              <w:ind w:left="714" w:right="0" w:hanging="357"/>
              <w:contextualSpacing w:val="0"/>
              <w:jc w:val="both"/>
              <w:rPr>
                <w:rFonts w:ascii="Arial" w:hAnsi="Arial" w:cs="Arial"/>
                <w:color w:val="252525" w:themeColor="text1" w:themeTint="D9"/>
                <w:sz w:val="20"/>
                <w:szCs w:val="20"/>
              </w:rPr>
            </w:pPr>
            <w:r>
              <w:rPr>
                <w:rFonts w:ascii="Arial" w:hAnsi="Arial" w:cs="Arial"/>
                <w:color w:val="252525" w:themeColor="text1" w:themeTint="D9"/>
                <w:sz w:val="20"/>
                <w:szCs w:val="20"/>
              </w:rPr>
              <w:t>Date contacted</w:t>
            </w:r>
          </w:p>
          <w:p>
            <w:pPr>
              <w:tabs>
                <w:tab w:val="left" w:pos="180"/>
              </w:tabs>
              <w:spacing w:after="120" w:line="276" w:lineRule="auto"/>
              <w:ind w:left="0" w:right="0" w:firstLine="0"/>
              <w:jc w:val="both"/>
              <w:rPr>
                <w:rFonts w:ascii="Arial" w:hAnsi="Arial" w:cs="Arial"/>
                <w:color w:val="252525" w:themeColor="text1" w:themeTint="D9"/>
                <w:sz w:val="20"/>
                <w:szCs w:val="20"/>
              </w:rPr>
            </w:pPr>
            <w:r>
              <w:rPr>
                <w:rFonts w:ascii="Arial" w:hAnsi="Arial" w:cs="Arial"/>
                <w:color w:val="252525" w:themeColor="text1" w:themeTint="D9"/>
                <w:sz w:val="20"/>
                <w:szCs w:val="20"/>
              </w:rPr>
              <w:t>You must also confirm that third-party personnel have verified the candidate’s evidence submissions are true and accurate.</w:t>
            </w:r>
          </w:p>
        </w:tc>
      </w:tr>
    </w:tbl>
    <w:p>
      <w:pPr>
        <w:spacing w:before="0" w:line="276" w:lineRule="auto"/>
        <w:ind w:left="0" w:right="102" w:firstLine="0"/>
        <w:rPr>
          <w:color w:val="252525" w:themeColor="text1" w:themeTint="D9"/>
        </w:rPr>
      </w:pPr>
    </w:p>
    <w:p>
      <w:pPr>
        <w:spacing w:before="0" w:line="276" w:lineRule="auto"/>
        <w:ind w:left="0" w:right="102" w:firstLine="0"/>
        <w:rPr>
          <w:b/>
          <w:bCs/>
          <w:color w:val="252525" w:themeColor="text1" w:themeTint="D9"/>
          <w:sz w:val="24"/>
          <w:szCs w:val="24"/>
        </w:rPr>
      </w:pPr>
      <w:r>
        <w:rPr>
          <w:b/>
          <w:bCs/>
          <w:color w:val="252525" w:themeColor="text1" w:themeTint="D9"/>
          <w:sz w:val="24"/>
          <w:szCs w:val="24"/>
        </w:rPr>
        <w:t>Contact No.1</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52525" w:themeColor="text1" w:themeTint="D9"/>
                <w:sz w:val="20"/>
                <w:szCs w:val="20"/>
              </w:rPr>
            </w:pPr>
            <w:r>
              <w:rPr>
                <w:rFonts w:ascii="Arial" w:hAnsi="Arial" w:cs="Arial"/>
                <w:b/>
                <w:color w:val="252525" w:themeColor="text1" w:themeTint="D9"/>
                <w:sz w:val="20"/>
                <w:szCs w:val="20"/>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52525" w:themeColor="text1" w:themeTint="D9"/>
                <w:sz w:val="20"/>
                <w:szCs w:val="20"/>
              </w:rPr>
            </w:pPr>
            <w:r>
              <w:rPr>
                <w:rFonts w:ascii="Arial" w:hAnsi="Arial" w:cs="Arial"/>
                <w:b/>
                <w:color w:val="252525" w:themeColor="text1" w:themeTint="D9"/>
                <w:sz w:val="20"/>
                <w:szCs w:val="20"/>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Contact Details</w:t>
            </w:r>
          </w:p>
          <w:p>
            <w:pPr>
              <w:tabs>
                <w:tab w:val="left" w:pos="180"/>
              </w:tabs>
              <w:spacing w:before="0"/>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4678" w:type="dxa"/>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1303" w:type="dxa"/>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 xml:space="preserve">Yes </w:t>
            </w:r>
            <w:r>
              <w:rPr>
                <w:rFonts w:ascii="Arial" w:hAnsi="Arial" w:cs="Arial"/>
                <w:color w:val="252525" w:themeColor="text1" w:themeTint="D9"/>
                <w:sz w:val="20"/>
                <w:szCs w:val="20"/>
              </w:rPr>
              <w:sym w:font="Wingdings" w:char="F06F"/>
            </w:r>
            <w:r>
              <w:rPr>
                <w:rFonts w:ascii="Arial" w:hAnsi="Arial" w:cs="Arial"/>
                <w:color w:val="252525" w:themeColor="text1" w:themeTint="D9"/>
                <w:sz w:val="20"/>
                <w:szCs w:val="20"/>
              </w:rPr>
              <w:t xml:space="preserve">     No </w:t>
            </w:r>
            <w:r>
              <w:rPr>
                <w:rFonts w:ascii="Arial" w:hAnsi="Arial" w:cs="Arial"/>
                <w:color w:val="252525" w:themeColor="text1" w:themeTint="D9"/>
                <w:sz w:val="20"/>
                <w:szCs w:val="20"/>
              </w:rPr>
              <w:sym w:font="Wingdings" w:char="F06F"/>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Assessor’s Notes</w:t>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bl>
    <w:p>
      <w:pPr>
        <w:spacing w:after="120" w:line="276" w:lineRule="auto"/>
        <w:rPr>
          <w:b/>
          <w:bCs/>
          <w:color w:val="252525" w:themeColor="text1" w:themeTint="D9"/>
          <w:sz w:val="24"/>
          <w:szCs w:val="24"/>
        </w:rPr>
      </w:pPr>
      <w:r>
        <w:rPr>
          <w:b/>
          <w:bCs/>
          <w:color w:val="252525" w:themeColor="text1" w:themeTint="D9"/>
          <w:sz w:val="24"/>
          <w:szCs w:val="24"/>
        </w:rPr>
        <w:br w:type="page"/>
      </w:r>
    </w:p>
    <w:p>
      <w:pPr>
        <w:spacing w:before="0" w:line="276" w:lineRule="auto"/>
        <w:ind w:left="0" w:right="102" w:firstLine="0"/>
        <w:rPr>
          <w:b/>
          <w:bCs/>
          <w:color w:val="252525" w:themeColor="text1" w:themeTint="D9"/>
          <w:sz w:val="24"/>
          <w:szCs w:val="24"/>
        </w:rPr>
      </w:pPr>
      <w:r>
        <w:rPr>
          <w:b/>
          <w:bCs/>
          <w:color w:val="252525" w:themeColor="text1" w:themeTint="D9"/>
          <w:sz w:val="24"/>
          <w:szCs w:val="24"/>
        </w:rPr>
        <w:t>Contact No.2</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52525" w:themeColor="text1" w:themeTint="D9"/>
                <w:sz w:val="20"/>
                <w:szCs w:val="20"/>
              </w:rPr>
            </w:pPr>
            <w:r>
              <w:rPr>
                <w:rFonts w:ascii="Arial" w:hAnsi="Arial" w:cs="Arial"/>
                <w:b/>
                <w:color w:val="252525" w:themeColor="text1" w:themeTint="D9"/>
                <w:sz w:val="20"/>
                <w:szCs w:val="20"/>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52525" w:themeColor="text1" w:themeTint="D9"/>
                <w:sz w:val="20"/>
                <w:szCs w:val="20"/>
              </w:rPr>
            </w:pPr>
            <w:r>
              <w:rPr>
                <w:rFonts w:ascii="Arial" w:hAnsi="Arial" w:cs="Arial"/>
                <w:b/>
                <w:color w:val="252525" w:themeColor="text1" w:themeTint="D9"/>
                <w:sz w:val="20"/>
                <w:szCs w:val="20"/>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Contact Details</w:t>
            </w:r>
          </w:p>
          <w:p>
            <w:pPr>
              <w:tabs>
                <w:tab w:val="left" w:pos="180"/>
              </w:tabs>
              <w:spacing w:before="0"/>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34" w:hRule="atLeast"/>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4678" w:type="dxa"/>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1303" w:type="dxa"/>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 xml:space="preserve">Yes </w:t>
            </w:r>
            <w:r>
              <w:rPr>
                <w:rFonts w:ascii="Arial" w:hAnsi="Arial" w:cs="Arial"/>
                <w:color w:val="252525" w:themeColor="text1" w:themeTint="D9"/>
                <w:sz w:val="20"/>
                <w:szCs w:val="20"/>
              </w:rPr>
              <w:sym w:font="Wingdings" w:char="F06F"/>
            </w:r>
            <w:r>
              <w:rPr>
                <w:rFonts w:ascii="Arial" w:hAnsi="Arial" w:cs="Arial"/>
                <w:color w:val="252525" w:themeColor="text1" w:themeTint="D9"/>
                <w:sz w:val="20"/>
                <w:szCs w:val="20"/>
              </w:rPr>
              <w:t xml:space="preserve">     No </w:t>
            </w:r>
            <w:r>
              <w:rPr>
                <w:rFonts w:ascii="Arial" w:hAnsi="Arial" w:cs="Arial"/>
                <w:color w:val="252525" w:themeColor="text1" w:themeTint="D9"/>
                <w:sz w:val="20"/>
                <w:szCs w:val="20"/>
              </w:rPr>
              <w:sym w:font="Wingdings" w:char="F06F"/>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Assessor’s Notes</w:t>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bl>
    <w:p>
      <w:pPr>
        <w:spacing w:before="0" w:line="276" w:lineRule="auto"/>
        <w:ind w:left="0" w:firstLine="0"/>
        <w:rPr>
          <w:color w:val="252525" w:themeColor="text1" w:themeTint="D9"/>
        </w:rPr>
      </w:pPr>
    </w:p>
    <w:p>
      <w:pPr>
        <w:spacing w:before="0" w:line="276" w:lineRule="auto"/>
        <w:ind w:left="0" w:right="102" w:firstLine="0"/>
        <w:rPr>
          <w:b/>
          <w:bCs/>
          <w:color w:val="252525" w:themeColor="text1" w:themeTint="D9"/>
          <w:sz w:val="24"/>
          <w:szCs w:val="24"/>
        </w:rPr>
      </w:pPr>
      <w:r>
        <w:rPr>
          <w:b/>
          <w:bCs/>
          <w:color w:val="252525" w:themeColor="text1" w:themeTint="D9"/>
          <w:sz w:val="24"/>
          <w:szCs w:val="24"/>
        </w:rPr>
        <w:t>Contact No.3</w:t>
      </w: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52525" w:themeColor="text1" w:themeTint="D9"/>
                <w:sz w:val="20"/>
                <w:szCs w:val="20"/>
              </w:rPr>
            </w:pPr>
            <w:r>
              <w:rPr>
                <w:rFonts w:ascii="Arial" w:hAnsi="Arial" w:cs="Arial"/>
                <w:b/>
                <w:color w:val="252525" w:themeColor="text1" w:themeTint="D9"/>
                <w:sz w:val="20"/>
                <w:szCs w:val="20"/>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52525" w:themeColor="text1" w:themeTint="D9"/>
                <w:sz w:val="20"/>
                <w:szCs w:val="20"/>
              </w:rPr>
            </w:pPr>
            <w:r>
              <w:rPr>
                <w:rFonts w:ascii="Arial" w:hAnsi="Arial" w:cs="Arial"/>
                <w:b/>
                <w:color w:val="252525" w:themeColor="text1" w:themeTint="D9"/>
                <w:sz w:val="20"/>
                <w:szCs w:val="20"/>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Contact Details</w:t>
            </w:r>
          </w:p>
          <w:p>
            <w:pPr>
              <w:tabs>
                <w:tab w:val="left" w:pos="180"/>
              </w:tabs>
              <w:spacing w:before="0"/>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4678" w:type="dxa"/>
          </w:tcPr>
          <w:p>
            <w:pPr>
              <w:tabs>
                <w:tab w:val="left" w:pos="180"/>
              </w:tabs>
              <w:spacing w:after="120" w:line="276" w:lineRule="auto"/>
              <w:ind w:left="0" w:right="0" w:firstLine="0"/>
              <w:jc w:val="both"/>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1303" w:type="dxa"/>
          </w:tcPr>
          <w:p>
            <w:pPr>
              <w:tabs>
                <w:tab w:val="left" w:pos="180"/>
              </w:tabs>
              <w:spacing w:after="12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 xml:space="preserve">Yes </w:t>
            </w:r>
            <w:r>
              <w:rPr>
                <w:rFonts w:ascii="Arial" w:hAnsi="Arial" w:cs="Arial"/>
                <w:color w:val="252525" w:themeColor="text1" w:themeTint="D9"/>
                <w:sz w:val="20"/>
                <w:szCs w:val="20"/>
              </w:rPr>
              <w:sym w:font="Wingdings" w:char="F06F"/>
            </w:r>
            <w:r>
              <w:rPr>
                <w:rFonts w:ascii="Arial" w:hAnsi="Arial" w:cs="Arial"/>
                <w:color w:val="252525" w:themeColor="text1" w:themeTint="D9"/>
                <w:sz w:val="20"/>
                <w:szCs w:val="20"/>
              </w:rPr>
              <w:t xml:space="preserve">     No </w:t>
            </w:r>
            <w:r>
              <w:rPr>
                <w:rFonts w:ascii="Arial" w:hAnsi="Arial" w:cs="Arial"/>
                <w:color w:val="252525" w:themeColor="text1" w:themeTint="D9"/>
                <w:sz w:val="20"/>
                <w:szCs w:val="20"/>
              </w:rPr>
              <w:sym w:font="Wingdings" w:char="F06F"/>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Assessor’s Notes</w:t>
            </w:r>
          </w:p>
          <w:p>
            <w:pPr>
              <w:tabs>
                <w:tab w:val="left" w:pos="180"/>
              </w:tabs>
              <w:spacing w:before="80" w:after="80" w:line="276" w:lineRule="auto"/>
              <w:ind w:left="0" w:right="0" w:firstLine="0"/>
              <w:jc w:val="center"/>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bl>
    <w:p>
      <w:pPr>
        <w:spacing w:before="0" w:line="276" w:lineRule="auto"/>
        <w:ind w:left="0" w:firstLine="0"/>
        <w:rPr>
          <w:color w:val="252525" w:themeColor="text1" w:themeTint="D9"/>
        </w:rPr>
      </w:pPr>
    </w:p>
    <w:tbl>
      <w:tblPr>
        <w:tblStyle w:val="18"/>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7"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52525" w:themeColor="text1" w:themeTint="D9"/>
                <w:sz w:val="20"/>
                <w:szCs w:val="20"/>
              </w:rPr>
            </w:pPr>
            <w:r>
              <w:rPr>
                <w:rFonts w:ascii="Arial" w:hAnsi="Arial" w:cs="Arial"/>
                <w:b/>
                <w:color w:val="252525" w:themeColor="text1" w:themeTint="D9"/>
                <w:sz w:val="20"/>
                <w:szCs w:val="20"/>
              </w:rPr>
              <w:t>Assessor Declaration</w:t>
            </w:r>
          </w:p>
          <w:p>
            <w:pPr>
              <w:tabs>
                <w:tab w:val="left" w:pos="180"/>
              </w:tabs>
              <w:spacing w:before="60" w:after="60" w:line="276" w:lineRule="auto"/>
              <w:ind w:left="0" w:right="0" w:firstLine="0"/>
              <w:jc w:val="center"/>
              <w:rPr>
                <w:rFonts w:ascii="Arial" w:hAnsi="Arial" w:cs="Arial"/>
                <w:color w:val="252525" w:themeColor="text1" w:themeTint="D9"/>
                <w:sz w:val="20"/>
                <w:szCs w:val="20"/>
              </w:rPr>
            </w:pPr>
            <w:r>
              <w:rPr>
                <w:rFonts w:ascii="Arial" w:hAnsi="Arial" w:cs="Arial"/>
                <w:color w:val="252525" w:themeColor="text1" w:themeTint="D9"/>
                <w:sz w:val="20"/>
                <w:szCs w:val="20"/>
              </w:rPr>
              <w:t xml:space="preserve">I declare that the information recorded in this </w:t>
            </w:r>
            <w:r>
              <w:rPr>
                <w:rFonts w:ascii="Arial" w:hAnsi="Arial" w:cs="Arial"/>
                <w:i/>
                <w:iCs/>
                <w:color w:val="252525" w:themeColor="text1" w:themeTint="D9"/>
                <w:sz w:val="20"/>
                <w:szCs w:val="20"/>
              </w:rPr>
              <w:t>Third-Party Verification Log</w:t>
            </w:r>
            <w:r>
              <w:rPr>
                <w:rFonts w:ascii="Arial" w:hAnsi="Arial" w:cs="Arial"/>
                <w:color w:val="252525" w:themeColor="text1" w:themeTint="D9"/>
                <w:sz w:val="20"/>
                <w:szCs w:val="20"/>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55"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52525" w:themeColor="text1" w:themeTint="D9"/>
                <w:sz w:val="20"/>
                <w:szCs w:val="20"/>
              </w:rPr>
            </w:pPr>
            <w:r>
              <w:rPr>
                <w:rFonts w:ascii="Arial" w:hAnsi="Arial" w:cs="Arial"/>
                <w:color w:val="252525" w:themeColor="text1" w:themeTint="D9"/>
                <w:sz w:val="18"/>
                <w:szCs w:val="20"/>
              </w:rPr>
              <w:t>Assessor’s name</w:t>
            </w:r>
            <w:r>
              <w:rPr>
                <w:rFonts w:cstheme="minorHAnsi"/>
                <w:color w:val="252525" w:themeColor="text1" w:themeTint="D9"/>
                <w:sz w:val="18"/>
                <w:szCs w:val="20"/>
              </w:rPr>
              <w:t xml:space="preserve"> </w:t>
            </w: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52525" w:themeColor="text1" w:themeTint="D9"/>
                <w:sz w:val="18"/>
                <w:szCs w:val="20"/>
              </w:rPr>
            </w:pPr>
            <w:r>
              <w:rPr>
                <w:rFonts w:ascii="Arial" w:hAnsi="Arial" w:cs="Arial"/>
                <w:color w:val="252525" w:themeColor="text1" w:themeTint="D9"/>
                <w:sz w:val="18"/>
                <w:szCs w:val="20"/>
              </w:rPr>
              <w:t>Assessor’s signature</w:t>
            </w:r>
          </w:p>
          <w:p>
            <w:pPr>
              <w:tabs>
                <w:tab w:val="left" w:pos="180"/>
              </w:tabs>
              <w:spacing w:after="120" w:line="276" w:lineRule="auto"/>
              <w:ind w:left="0" w:right="0" w:firstLine="0"/>
              <w:rPr>
                <w:rFonts w:ascii="Arial" w:hAnsi="Arial" w:cs="Arial"/>
                <w:color w:val="252525" w:themeColor="text1" w:themeTint="D9"/>
                <w:sz w:val="20"/>
                <w:szCs w:val="20"/>
              </w:rPr>
            </w:pP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07" w:hRule="atLeast"/>
          <w:jc w:val="center"/>
        </w:trPr>
        <w:tc>
          <w:tcPr>
            <w:tcW w:w="5935" w:type="dxa"/>
            <w:shd w:val="clear" w:color="auto" w:fill="auto"/>
          </w:tcPr>
          <w:p>
            <w:pPr>
              <w:tabs>
                <w:tab w:val="left" w:pos="180"/>
              </w:tabs>
              <w:spacing w:after="120" w:line="276" w:lineRule="auto"/>
              <w:ind w:left="0" w:right="0" w:firstLine="0"/>
              <w:rPr>
                <w:rFonts w:cstheme="minorHAnsi"/>
                <w:color w:val="252525" w:themeColor="text1" w:themeTint="D9"/>
                <w:sz w:val="20"/>
                <w:szCs w:val="20"/>
              </w:rPr>
            </w:pPr>
            <w:r>
              <w:rPr>
                <w:rFonts w:ascii="Arial" w:hAnsi="Arial" w:cs="Arial"/>
                <w:color w:val="252525" w:themeColor="text1" w:themeTint="D9"/>
                <w:sz w:val="18"/>
                <w:szCs w:val="20"/>
              </w:rPr>
              <w:t>Date signed</w:t>
            </w:r>
            <w:r>
              <w:rPr>
                <w:rFonts w:cstheme="minorHAnsi"/>
                <w:color w:val="252525" w:themeColor="text1" w:themeTint="D9"/>
                <w:sz w:val="18"/>
                <w:szCs w:val="20"/>
              </w:rPr>
              <w:t xml:space="preserve"> </w:t>
            </w:r>
            <w:r>
              <w:rPr>
                <w:rFonts w:cstheme="minorHAnsi"/>
                <w:color w:val="252525" w:themeColor="text1" w:themeTint="D9"/>
                <w:sz w:val="20"/>
                <w:szCs w:val="20"/>
              </w:rPr>
              <w:fldChar w:fldCharType="begin">
                <w:ffData>
                  <w:name w:val="Text1"/>
                  <w:enabled/>
                  <w:calcOnExit w:val="0"/>
                  <w:textInput/>
                </w:ffData>
              </w:fldChar>
            </w:r>
            <w:r>
              <w:rPr>
                <w:rFonts w:cstheme="minorHAnsi"/>
                <w:color w:val="252525" w:themeColor="text1" w:themeTint="D9"/>
                <w:sz w:val="20"/>
                <w:szCs w:val="20"/>
              </w:rPr>
              <w:instrText xml:space="preserve"> FORMTEXT </w:instrText>
            </w:r>
            <w:r>
              <w:rPr>
                <w:rFonts w:cstheme="minorHAnsi"/>
                <w:color w:val="252525" w:themeColor="text1" w:themeTint="D9"/>
                <w:sz w:val="20"/>
                <w:szCs w:val="20"/>
              </w:rPr>
              <w:fldChar w:fldCharType="separate"/>
            </w:r>
            <w:r>
              <w:rPr>
                <w:rFonts w:cstheme="minorHAnsi"/>
                <w:color w:val="252525" w:themeColor="text1" w:themeTint="D9"/>
                <w:sz w:val="20"/>
                <w:szCs w:val="20"/>
              </w:rPr>
              <w:t>     </w:t>
            </w:r>
            <w:r>
              <w:rPr>
                <w:rFonts w:cstheme="minorHAnsi"/>
                <w:color w:val="252525" w:themeColor="text1" w:themeTint="D9"/>
                <w:sz w:val="20"/>
                <w:szCs w:val="20"/>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52525" w:themeColor="text1" w:themeTint="D9"/>
                <w:sz w:val="20"/>
                <w:szCs w:val="20"/>
              </w:rPr>
            </w:pPr>
          </w:p>
        </w:tc>
      </w:tr>
    </w:tbl>
    <w:p>
      <w:pPr>
        <w:tabs>
          <w:tab w:val="left" w:pos="180"/>
        </w:tabs>
        <w:spacing w:before="0" w:after="120" w:line="276" w:lineRule="auto"/>
        <w:ind w:left="0" w:right="0" w:firstLine="0"/>
        <w:jc w:val="center"/>
        <w:rPr>
          <w:b/>
          <w:color w:val="A5A5A5" w:themeColor="background1" w:themeShade="A6"/>
          <w:sz w:val="24"/>
        </w:rPr>
      </w:pPr>
      <w:r>
        <w:rPr>
          <w:color w:val="A5A5A5" w:themeColor="background1" w:themeShade="A6"/>
          <w:sz w:val="20"/>
        </w:rPr>
        <w:t>End of Record of Assessment (For the Assessor’s Use Only)</w:t>
      </w:r>
      <w:bookmarkEnd w:id="100"/>
    </w:p>
    <w:sectPr>
      <w:pgSz w:w="16838" w:h="11906" w:orient="landscape"/>
      <w:pgMar w:top="851" w:right="1247" w:bottom="851" w:left="1247"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Myriad Pro">
    <w:altName w:val="Corbel"/>
    <w:panose1 w:val="00000000000000000000"/>
    <w:charset w:val="00"/>
    <w:family w:val="swiss"/>
    <w:pitch w:val="default"/>
    <w:sig w:usb0="00000000" w:usb1="00000000" w:usb2="00000000" w:usb3="00000000" w:csb0="00000001" w:csb1="00000000"/>
  </w:font>
  <w:font w:name="ZapfHumnst Ult BT">
    <w:altName w:val="Tahoma"/>
    <w:panose1 w:val="020B0805050508020204"/>
    <w:charset w:val="00"/>
    <w:family w:val="swiss"/>
    <w:pitch w:val="default"/>
    <w:sig w:usb0="00000000" w:usb1="00000000" w:usb2="00000000" w:usb3="00000000" w:csb0="00000011" w:csb1="00000000"/>
  </w:font>
  <w:font w:name="Tahoma">
    <w:panose1 w:val="020B0604030504040204"/>
    <w:charset w:val="00"/>
    <w:family w:val="auto"/>
    <w:pitch w:val="default"/>
    <w:sig w:usb0="E1002EFF" w:usb1="C000605B" w:usb2="00000029" w:usb3="00000000" w:csb0="200101FF" w:csb1="2028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721909671"/>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before="0"/>
          <w:rPr>
            <w:rFonts w:cs="Times New Roman"/>
            <w:sz w:val="16"/>
            <w:szCs w:val="16"/>
          </w:rPr>
        </w:pPr>
      </w:p>
      <w:p>
        <w:pPr>
          <w:pBdr>
            <w:top w:val="single" w:color="auto" w:sz="4" w:space="1"/>
          </w:pBdr>
          <w:tabs>
            <w:tab w:val="center" w:pos="5103"/>
            <w:tab w:val="right" w:pos="14317"/>
          </w:tabs>
          <w:spacing w:before="0"/>
          <w:rPr>
            <w:rFonts w:cs="Times New Roman"/>
            <w:sz w:val="16"/>
            <w:szCs w:val="16"/>
          </w:rPr>
        </w:pPr>
        <w:r>
          <w:rPr>
            <w:rFonts w:cs="Times New Roman"/>
            <w:sz w:val="16"/>
            <w:szCs w:val="16"/>
          </w:rPr>
          <w:t>CSTC Pty Ltd (RTO #0699)</w:t>
        </w:r>
        <w:r>
          <w:rPr>
            <w:sz w:val="16"/>
            <w:szCs w:val="16"/>
          </w:rPr>
          <w:tab/>
        </w:r>
        <w:sdt>
          <w:sdtPr>
            <w:rPr>
              <w:sz w:val="16"/>
              <w:szCs w:val="16"/>
            </w:rPr>
            <w:alias w:val="Status"/>
            <w:id w:val="486980319"/>
            <w:placeholder>
              <w:docPart w:val="2E7439E11D7A4487AA2B58FF66DEEAF1"/>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v1-1_06/12/2022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132</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tabs>
        <w:tab w:val="center" w:pos="5103"/>
        <w:tab w:val="right" w:pos="14317"/>
      </w:tabs>
      <w:rPr>
        <w:rFonts w:cs="Times New Roman"/>
        <w:sz w:val="16"/>
        <w:szCs w:val="16"/>
      </w:rPr>
    </w:pPr>
  </w:p>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4B6F146E10D04B75BE407906AEB3AE06"/>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v1-1_06/12/2022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132</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90C89"/>
    <w:multiLevelType w:val="multilevel"/>
    <w:tmpl w:val="04090C89"/>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
    <w:nsid w:val="04BB2584"/>
    <w:multiLevelType w:val="multilevel"/>
    <w:tmpl w:val="04BB25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66E51DB"/>
    <w:multiLevelType w:val="multilevel"/>
    <w:tmpl w:val="066E51D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6AC36D7"/>
    <w:multiLevelType w:val="multilevel"/>
    <w:tmpl w:val="06AC36D7"/>
    <w:lvl w:ilvl="0" w:tentative="0">
      <w:start w:val="1"/>
      <w:numFmt w:val="decimal"/>
      <w:lvlText w:val="%1."/>
      <w:lvlJc w:val="right"/>
      <w:pPr>
        <w:ind w:left="1080" w:hanging="720"/>
      </w:pPr>
      <w:rPr>
        <w:rFonts w:hint="default"/>
        <w:color w:val="252525" w:themeColor="text1" w:themeTint="D9"/>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86967F2"/>
    <w:multiLevelType w:val="multilevel"/>
    <w:tmpl w:val="086967F2"/>
    <w:lvl w:ilvl="0" w:tentative="0">
      <w:start w:val="1"/>
      <w:numFmt w:val="bullet"/>
      <w:lvlText w:val=""/>
      <w:lvlJc w:val="left"/>
      <w:pPr>
        <w:ind w:left="1466" w:hanging="360"/>
      </w:pPr>
      <w:rPr>
        <w:rFonts w:hint="default" w:ascii="Wingdings" w:hAnsi="Wingdings"/>
      </w:rPr>
    </w:lvl>
    <w:lvl w:ilvl="1" w:tentative="0">
      <w:start w:val="1"/>
      <w:numFmt w:val="bullet"/>
      <w:lvlText w:val="o"/>
      <w:lvlJc w:val="left"/>
      <w:pPr>
        <w:ind w:left="2186" w:hanging="360"/>
      </w:pPr>
      <w:rPr>
        <w:rFonts w:hint="default" w:ascii="Courier New" w:hAnsi="Courier New" w:cs="Courier New"/>
      </w:rPr>
    </w:lvl>
    <w:lvl w:ilvl="2" w:tentative="0">
      <w:start w:val="1"/>
      <w:numFmt w:val="bullet"/>
      <w:lvlText w:val=""/>
      <w:lvlJc w:val="left"/>
      <w:pPr>
        <w:ind w:left="2906" w:hanging="360"/>
      </w:pPr>
      <w:rPr>
        <w:rFonts w:hint="default" w:ascii="Wingdings" w:hAnsi="Wingdings"/>
      </w:rPr>
    </w:lvl>
    <w:lvl w:ilvl="3" w:tentative="0">
      <w:start w:val="1"/>
      <w:numFmt w:val="bullet"/>
      <w:lvlText w:val=""/>
      <w:lvlJc w:val="left"/>
      <w:pPr>
        <w:ind w:left="3626" w:hanging="360"/>
      </w:pPr>
      <w:rPr>
        <w:rFonts w:hint="default" w:ascii="Symbol" w:hAnsi="Symbol"/>
      </w:rPr>
    </w:lvl>
    <w:lvl w:ilvl="4" w:tentative="0">
      <w:start w:val="1"/>
      <w:numFmt w:val="bullet"/>
      <w:lvlText w:val="o"/>
      <w:lvlJc w:val="left"/>
      <w:pPr>
        <w:ind w:left="4346" w:hanging="360"/>
      </w:pPr>
      <w:rPr>
        <w:rFonts w:hint="default" w:ascii="Courier New" w:hAnsi="Courier New" w:cs="Courier New"/>
      </w:rPr>
    </w:lvl>
    <w:lvl w:ilvl="5" w:tentative="0">
      <w:start w:val="1"/>
      <w:numFmt w:val="bullet"/>
      <w:lvlText w:val=""/>
      <w:lvlJc w:val="left"/>
      <w:pPr>
        <w:ind w:left="5066" w:hanging="360"/>
      </w:pPr>
      <w:rPr>
        <w:rFonts w:hint="default" w:ascii="Wingdings" w:hAnsi="Wingdings"/>
      </w:rPr>
    </w:lvl>
    <w:lvl w:ilvl="6" w:tentative="0">
      <w:start w:val="1"/>
      <w:numFmt w:val="bullet"/>
      <w:lvlText w:val=""/>
      <w:lvlJc w:val="left"/>
      <w:pPr>
        <w:ind w:left="5786" w:hanging="360"/>
      </w:pPr>
      <w:rPr>
        <w:rFonts w:hint="default" w:ascii="Symbol" w:hAnsi="Symbol"/>
      </w:rPr>
    </w:lvl>
    <w:lvl w:ilvl="7" w:tentative="0">
      <w:start w:val="1"/>
      <w:numFmt w:val="bullet"/>
      <w:lvlText w:val="o"/>
      <w:lvlJc w:val="left"/>
      <w:pPr>
        <w:ind w:left="6506" w:hanging="360"/>
      </w:pPr>
      <w:rPr>
        <w:rFonts w:hint="default" w:ascii="Courier New" w:hAnsi="Courier New" w:cs="Courier New"/>
      </w:rPr>
    </w:lvl>
    <w:lvl w:ilvl="8" w:tentative="0">
      <w:start w:val="1"/>
      <w:numFmt w:val="bullet"/>
      <w:lvlText w:val=""/>
      <w:lvlJc w:val="left"/>
      <w:pPr>
        <w:ind w:left="7226" w:hanging="360"/>
      </w:pPr>
      <w:rPr>
        <w:rFonts w:hint="default" w:ascii="Wingdings" w:hAnsi="Wingdings"/>
      </w:rPr>
    </w:lvl>
  </w:abstractNum>
  <w:abstractNum w:abstractNumId="5">
    <w:nsid w:val="0B3E08A6"/>
    <w:multiLevelType w:val="multilevel"/>
    <w:tmpl w:val="0B3E08A6"/>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0E2F45A7"/>
    <w:multiLevelType w:val="multilevel"/>
    <w:tmpl w:val="0E2F45A7"/>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8">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97310AA"/>
    <w:multiLevelType w:val="multilevel"/>
    <w:tmpl w:val="197310AA"/>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10">
    <w:nsid w:val="1D8E091A"/>
    <w:multiLevelType w:val="multilevel"/>
    <w:tmpl w:val="1D8E091A"/>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1">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24DE1D37"/>
    <w:multiLevelType w:val="multilevel"/>
    <w:tmpl w:val="24DE1D37"/>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4">
    <w:nsid w:val="29E32ADF"/>
    <w:multiLevelType w:val="multilevel"/>
    <w:tmpl w:val="29E32ADF"/>
    <w:lvl w:ilvl="0" w:tentative="0">
      <w:start w:val="1"/>
      <w:numFmt w:val="bullet"/>
      <w:lvlText w:val=""/>
      <w:lvlJc w:val="left"/>
      <w:pPr>
        <w:ind w:left="1466" w:hanging="360"/>
      </w:pPr>
      <w:rPr>
        <w:rFonts w:hint="default" w:ascii="Wingdings" w:hAnsi="Wingdings"/>
      </w:rPr>
    </w:lvl>
    <w:lvl w:ilvl="1" w:tentative="0">
      <w:start w:val="1"/>
      <w:numFmt w:val="bullet"/>
      <w:lvlText w:val="o"/>
      <w:lvlJc w:val="left"/>
      <w:pPr>
        <w:ind w:left="2186" w:hanging="360"/>
      </w:pPr>
      <w:rPr>
        <w:rFonts w:hint="default" w:ascii="Courier New" w:hAnsi="Courier New" w:cs="Courier New"/>
      </w:rPr>
    </w:lvl>
    <w:lvl w:ilvl="2" w:tentative="0">
      <w:start w:val="1"/>
      <w:numFmt w:val="bullet"/>
      <w:lvlText w:val=""/>
      <w:lvlJc w:val="left"/>
      <w:pPr>
        <w:ind w:left="2906" w:hanging="360"/>
      </w:pPr>
      <w:rPr>
        <w:rFonts w:hint="default" w:ascii="Wingdings" w:hAnsi="Wingdings"/>
      </w:rPr>
    </w:lvl>
    <w:lvl w:ilvl="3" w:tentative="0">
      <w:start w:val="1"/>
      <w:numFmt w:val="bullet"/>
      <w:lvlText w:val=""/>
      <w:lvlJc w:val="left"/>
      <w:pPr>
        <w:ind w:left="3626" w:hanging="360"/>
      </w:pPr>
      <w:rPr>
        <w:rFonts w:hint="default" w:ascii="Symbol" w:hAnsi="Symbol"/>
      </w:rPr>
    </w:lvl>
    <w:lvl w:ilvl="4" w:tentative="0">
      <w:start w:val="1"/>
      <w:numFmt w:val="bullet"/>
      <w:lvlText w:val="o"/>
      <w:lvlJc w:val="left"/>
      <w:pPr>
        <w:ind w:left="4346" w:hanging="360"/>
      </w:pPr>
      <w:rPr>
        <w:rFonts w:hint="default" w:ascii="Courier New" w:hAnsi="Courier New" w:cs="Courier New"/>
      </w:rPr>
    </w:lvl>
    <w:lvl w:ilvl="5" w:tentative="0">
      <w:start w:val="1"/>
      <w:numFmt w:val="bullet"/>
      <w:lvlText w:val=""/>
      <w:lvlJc w:val="left"/>
      <w:pPr>
        <w:ind w:left="5066" w:hanging="360"/>
      </w:pPr>
      <w:rPr>
        <w:rFonts w:hint="default" w:ascii="Wingdings" w:hAnsi="Wingdings"/>
      </w:rPr>
    </w:lvl>
    <w:lvl w:ilvl="6" w:tentative="0">
      <w:start w:val="1"/>
      <w:numFmt w:val="bullet"/>
      <w:lvlText w:val=""/>
      <w:lvlJc w:val="left"/>
      <w:pPr>
        <w:ind w:left="5786" w:hanging="360"/>
      </w:pPr>
      <w:rPr>
        <w:rFonts w:hint="default" w:ascii="Symbol" w:hAnsi="Symbol"/>
      </w:rPr>
    </w:lvl>
    <w:lvl w:ilvl="7" w:tentative="0">
      <w:start w:val="1"/>
      <w:numFmt w:val="bullet"/>
      <w:lvlText w:val="o"/>
      <w:lvlJc w:val="left"/>
      <w:pPr>
        <w:ind w:left="6506" w:hanging="360"/>
      </w:pPr>
      <w:rPr>
        <w:rFonts w:hint="default" w:ascii="Courier New" w:hAnsi="Courier New" w:cs="Courier New"/>
      </w:rPr>
    </w:lvl>
    <w:lvl w:ilvl="8" w:tentative="0">
      <w:start w:val="1"/>
      <w:numFmt w:val="bullet"/>
      <w:lvlText w:val=""/>
      <w:lvlJc w:val="left"/>
      <w:pPr>
        <w:ind w:left="7226" w:hanging="360"/>
      </w:pPr>
      <w:rPr>
        <w:rFonts w:hint="default" w:ascii="Wingdings" w:hAnsi="Wingdings"/>
      </w:rPr>
    </w:lvl>
  </w:abstractNum>
  <w:abstractNum w:abstractNumId="15">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3DE83B51"/>
    <w:multiLevelType w:val="multilevel"/>
    <w:tmpl w:val="3DE83B5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8">
    <w:nsid w:val="3F5D1C31"/>
    <w:multiLevelType w:val="multilevel"/>
    <w:tmpl w:val="3F5D1C31"/>
    <w:lvl w:ilvl="0" w:tentative="0">
      <w:start w:val="1"/>
      <w:numFmt w:val="bullet"/>
      <w:lvlText w:val=""/>
      <w:lvlJc w:val="left"/>
      <w:pPr>
        <w:ind w:left="1466" w:hanging="360"/>
      </w:pPr>
      <w:rPr>
        <w:rFonts w:hint="default" w:ascii="Wingdings" w:hAnsi="Wingdings"/>
      </w:rPr>
    </w:lvl>
    <w:lvl w:ilvl="1" w:tentative="0">
      <w:start w:val="1"/>
      <w:numFmt w:val="bullet"/>
      <w:lvlText w:val="o"/>
      <w:lvlJc w:val="left"/>
      <w:pPr>
        <w:ind w:left="2186" w:hanging="360"/>
      </w:pPr>
      <w:rPr>
        <w:rFonts w:hint="default" w:ascii="Courier New" w:hAnsi="Courier New" w:cs="Courier New"/>
      </w:rPr>
    </w:lvl>
    <w:lvl w:ilvl="2" w:tentative="0">
      <w:start w:val="1"/>
      <w:numFmt w:val="bullet"/>
      <w:lvlText w:val=""/>
      <w:lvlJc w:val="left"/>
      <w:pPr>
        <w:ind w:left="2906" w:hanging="360"/>
      </w:pPr>
      <w:rPr>
        <w:rFonts w:hint="default" w:ascii="Wingdings" w:hAnsi="Wingdings"/>
      </w:rPr>
    </w:lvl>
    <w:lvl w:ilvl="3" w:tentative="0">
      <w:start w:val="1"/>
      <w:numFmt w:val="bullet"/>
      <w:lvlText w:val=""/>
      <w:lvlJc w:val="left"/>
      <w:pPr>
        <w:ind w:left="3626" w:hanging="360"/>
      </w:pPr>
      <w:rPr>
        <w:rFonts w:hint="default" w:ascii="Symbol" w:hAnsi="Symbol"/>
      </w:rPr>
    </w:lvl>
    <w:lvl w:ilvl="4" w:tentative="0">
      <w:start w:val="1"/>
      <w:numFmt w:val="bullet"/>
      <w:lvlText w:val="o"/>
      <w:lvlJc w:val="left"/>
      <w:pPr>
        <w:ind w:left="4346" w:hanging="360"/>
      </w:pPr>
      <w:rPr>
        <w:rFonts w:hint="default" w:ascii="Courier New" w:hAnsi="Courier New" w:cs="Courier New"/>
      </w:rPr>
    </w:lvl>
    <w:lvl w:ilvl="5" w:tentative="0">
      <w:start w:val="1"/>
      <w:numFmt w:val="bullet"/>
      <w:lvlText w:val=""/>
      <w:lvlJc w:val="left"/>
      <w:pPr>
        <w:ind w:left="5066" w:hanging="360"/>
      </w:pPr>
      <w:rPr>
        <w:rFonts w:hint="default" w:ascii="Wingdings" w:hAnsi="Wingdings"/>
      </w:rPr>
    </w:lvl>
    <w:lvl w:ilvl="6" w:tentative="0">
      <w:start w:val="1"/>
      <w:numFmt w:val="bullet"/>
      <w:lvlText w:val=""/>
      <w:lvlJc w:val="left"/>
      <w:pPr>
        <w:ind w:left="5786" w:hanging="360"/>
      </w:pPr>
      <w:rPr>
        <w:rFonts w:hint="default" w:ascii="Symbol" w:hAnsi="Symbol"/>
      </w:rPr>
    </w:lvl>
    <w:lvl w:ilvl="7" w:tentative="0">
      <w:start w:val="1"/>
      <w:numFmt w:val="bullet"/>
      <w:lvlText w:val="o"/>
      <w:lvlJc w:val="left"/>
      <w:pPr>
        <w:ind w:left="6506" w:hanging="360"/>
      </w:pPr>
      <w:rPr>
        <w:rFonts w:hint="default" w:ascii="Courier New" w:hAnsi="Courier New" w:cs="Courier New"/>
      </w:rPr>
    </w:lvl>
    <w:lvl w:ilvl="8" w:tentative="0">
      <w:start w:val="1"/>
      <w:numFmt w:val="bullet"/>
      <w:lvlText w:val=""/>
      <w:lvlJc w:val="left"/>
      <w:pPr>
        <w:ind w:left="7226" w:hanging="360"/>
      </w:pPr>
      <w:rPr>
        <w:rFonts w:hint="default" w:ascii="Wingdings" w:hAnsi="Wingdings"/>
      </w:rPr>
    </w:lvl>
  </w:abstractNum>
  <w:abstractNum w:abstractNumId="19">
    <w:nsid w:val="423A5D1D"/>
    <w:multiLevelType w:val="multilevel"/>
    <w:tmpl w:val="423A5D1D"/>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20">
    <w:nsid w:val="44C02D92"/>
    <w:multiLevelType w:val="multilevel"/>
    <w:tmpl w:val="44C02D92"/>
    <w:lvl w:ilvl="0" w:tentative="0">
      <w:start w:val="1"/>
      <w:numFmt w:val="lowerRoman"/>
      <w:lvlText w:val="%1."/>
      <w:lvlJc w:val="right"/>
      <w:pPr>
        <w:ind w:left="795" w:hanging="360"/>
      </w:pPr>
      <w:rPr>
        <w:rFonts w:hint="default"/>
        <w:b w:val="0"/>
        <w:i w:val="0"/>
        <w:color w:val="auto"/>
        <w:sz w:val="24"/>
        <w:szCs w:val="24"/>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1">
    <w:nsid w:val="4D9B66D3"/>
    <w:multiLevelType w:val="multilevel"/>
    <w:tmpl w:val="4D9B66D3"/>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decimal"/>
      <w:lvlText w:val="%3."/>
      <w:lvlJc w:val="left"/>
      <w:pPr>
        <w:ind w:left="2415" w:hanging="360"/>
      </w:pPr>
      <w:rPr>
        <w:rFonts w:hint="default"/>
      </w:r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2">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25">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537A41BD"/>
    <w:multiLevelType w:val="multilevel"/>
    <w:tmpl w:val="537A41BD"/>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7">
    <w:nsid w:val="548D5DDC"/>
    <w:multiLevelType w:val="multilevel"/>
    <w:tmpl w:val="548D5DDC"/>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8">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58266E0E"/>
    <w:multiLevelType w:val="multilevel"/>
    <w:tmpl w:val="58266E0E"/>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0">
    <w:nsid w:val="5B5D47AE"/>
    <w:multiLevelType w:val="multilevel"/>
    <w:tmpl w:val="5B5D47AE"/>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31">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5E6E59DE"/>
    <w:multiLevelType w:val="multilevel"/>
    <w:tmpl w:val="5E6E59DE"/>
    <w:lvl w:ilvl="0" w:tentative="0">
      <w:start w:val="1"/>
      <w:numFmt w:val="lowerRoman"/>
      <w:lvlText w:val="%1."/>
      <w:lvlJc w:val="right"/>
      <w:pPr>
        <w:ind w:left="795" w:hanging="360"/>
      </w:pPr>
      <w:rPr>
        <w:rFonts w:hint="default"/>
        <w:b w:val="0"/>
        <w:i w:val="0"/>
        <w:color w:val="auto"/>
        <w:sz w:val="24"/>
        <w:szCs w:val="24"/>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3">
    <w:nsid w:val="5FC12899"/>
    <w:multiLevelType w:val="multilevel"/>
    <w:tmpl w:val="5FC12899"/>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4">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66DE224B"/>
    <w:multiLevelType w:val="multilevel"/>
    <w:tmpl w:val="66DE224B"/>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6">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7">
    <w:nsid w:val="6E8248A7"/>
    <w:multiLevelType w:val="multilevel"/>
    <w:tmpl w:val="6E8248A7"/>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8">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9">
    <w:nsid w:val="75AC29F8"/>
    <w:multiLevelType w:val="multilevel"/>
    <w:tmpl w:val="75AC29F8"/>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40">
    <w:nsid w:val="75E4732B"/>
    <w:multiLevelType w:val="multilevel"/>
    <w:tmpl w:val="75E4732B"/>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1">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2">
    <w:nsid w:val="786929C9"/>
    <w:multiLevelType w:val="multilevel"/>
    <w:tmpl w:val="786929C9"/>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3">
    <w:nsid w:val="794C1B06"/>
    <w:multiLevelType w:val="multilevel"/>
    <w:tmpl w:val="794C1B06"/>
    <w:lvl w:ilvl="0" w:tentative="0">
      <w:start w:val="1"/>
      <w:numFmt w:val="lowerRoman"/>
      <w:lvlText w:val="%1."/>
      <w:lvlJc w:val="right"/>
      <w:pPr>
        <w:ind w:left="795" w:hanging="360"/>
      </w:pPr>
      <w:rPr>
        <w:rFonts w:hint="default"/>
        <w:b w:val="0"/>
        <w:i w:val="0"/>
        <w:color w:val="auto"/>
      </w:rPr>
    </w:lvl>
    <w:lvl w:ilvl="1" w:tentative="0">
      <w:start w:val="1"/>
      <w:numFmt w:val="decimal"/>
      <w:lvlText w:val="%2."/>
      <w:lvlJc w:val="left"/>
      <w:pPr>
        <w:ind w:left="1800" w:hanging="645"/>
      </w:pPr>
      <w:rPr>
        <w:rFonts w:hint="default"/>
      </w:r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4">
    <w:nsid w:val="7AEB6B7E"/>
    <w:multiLevelType w:val="multilevel"/>
    <w:tmpl w:val="7AEB6B7E"/>
    <w:lvl w:ilvl="0" w:tentative="0">
      <w:start w:val="1"/>
      <w:numFmt w:val="bullet"/>
      <w:lvlText w:val=""/>
      <w:lvlJc w:val="left"/>
      <w:pPr>
        <w:ind w:left="1466" w:hanging="360"/>
      </w:pPr>
      <w:rPr>
        <w:rFonts w:hint="default" w:ascii="Wingdings" w:hAnsi="Wingdings"/>
      </w:rPr>
    </w:lvl>
    <w:lvl w:ilvl="1" w:tentative="0">
      <w:start w:val="1"/>
      <w:numFmt w:val="bullet"/>
      <w:lvlText w:val="o"/>
      <w:lvlJc w:val="left"/>
      <w:pPr>
        <w:ind w:left="2186" w:hanging="360"/>
      </w:pPr>
      <w:rPr>
        <w:rFonts w:hint="default" w:ascii="Courier New" w:hAnsi="Courier New" w:cs="Courier New"/>
      </w:rPr>
    </w:lvl>
    <w:lvl w:ilvl="2" w:tentative="0">
      <w:start w:val="1"/>
      <w:numFmt w:val="bullet"/>
      <w:lvlText w:val=""/>
      <w:lvlJc w:val="left"/>
      <w:pPr>
        <w:ind w:left="2906" w:hanging="360"/>
      </w:pPr>
      <w:rPr>
        <w:rFonts w:hint="default" w:ascii="Wingdings" w:hAnsi="Wingdings"/>
      </w:rPr>
    </w:lvl>
    <w:lvl w:ilvl="3" w:tentative="0">
      <w:start w:val="1"/>
      <w:numFmt w:val="bullet"/>
      <w:lvlText w:val=""/>
      <w:lvlJc w:val="left"/>
      <w:pPr>
        <w:ind w:left="3626" w:hanging="360"/>
      </w:pPr>
      <w:rPr>
        <w:rFonts w:hint="default" w:ascii="Symbol" w:hAnsi="Symbol"/>
      </w:rPr>
    </w:lvl>
    <w:lvl w:ilvl="4" w:tentative="0">
      <w:start w:val="1"/>
      <w:numFmt w:val="bullet"/>
      <w:lvlText w:val="o"/>
      <w:lvlJc w:val="left"/>
      <w:pPr>
        <w:ind w:left="4346" w:hanging="360"/>
      </w:pPr>
      <w:rPr>
        <w:rFonts w:hint="default" w:ascii="Courier New" w:hAnsi="Courier New" w:cs="Courier New"/>
      </w:rPr>
    </w:lvl>
    <w:lvl w:ilvl="5" w:tentative="0">
      <w:start w:val="1"/>
      <w:numFmt w:val="bullet"/>
      <w:lvlText w:val=""/>
      <w:lvlJc w:val="left"/>
      <w:pPr>
        <w:ind w:left="5066" w:hanging="360"/>
      </w:pPr>
      <w:rPr>
        <w:rFonts w:hint="default" w:ascii="Wingdings" w:hAnsi="Wingdings"/>
      </w:rPr>
    </w:lvl>
    <w:lvl w:ilvl="6" w:tentative="0">
      <w:start w:val="1"/>
      <w:numFmt w:val="bullet"/>
      <w:lvlText w:val=""/>
      <w:lvlJc w:val="left"/>
      <w:pPr>
        <w:ind w:left="5786" w:hanging="360"/>
      </w:pPr>
      <w:rPr>
        <w:rFonts w:hint="default" w:ascii="Symbol" w:hAnsi="Symbol"/>
      </w:rPr>
    </w:lvl>
    <w:lvl w:ilvl="7" w:tentative="0">
      <w:start w:val="1"/>
      <w:numFmt w:val="bullet"/>
      <w:lvlText w:val="o"/>
      <w:lvlJc w:val="left"/>
      <w:pPr>
        <w:ind w:left="6506" w:hanging="360"/>
      </w:pPr>
      <w:rPr>
        <w:rFonts w:hint="default" w:ascii="Courier New" w:hAnsi="Courier New" w:cs="Courier New"/>
      </w:rPr>
    </w:lvl>
    <w:lvl w:ilvl="8" w:tentative="0">
      <w:start w:val="1"/>
      <w:numFmt w:val="bullet"/>
      <w:lvlText w:val=""/>
      <w:lvlJc w:val="left"/>
      <w:pPr>
        <w:ind w:left="7226" w:hanging="360"/>
      </w:pPr>
      <w:rPr>
        <w:rFonts w:hint="default" w:ascii="Wingdings" w:hAnsi="Wingdings"/>
      </w:rPr>
    </w:lvl>
  </w:abstractNum>
  <w:num w:numId="1">
    <w:abstractNumId w:val="36"/>
  </w:num>
  <w:num w:numId="2">
    <w:abstractNumId w:val="24"/>
  </w:num>
  <w:num w:numId="3">
    <w:abstractNumId w:val="11"/>
  </w:num>
  <w:num w:numId="4">
    <w:abstractNumId w:val="12"/>
  </w:num>
  <w:num w:numId="5">
    <w:abstractNumId w:val="41"/>
  </w:num>
  <w:num w:numId="6">
    <w:abstractNumId w:val="25"/>
  </w:num>
  <w:num w:numId="7">
    <w:abstractNumId w:val="23"/>
  </w:num>
  <w:num w:numId="8">
    <w:abstractNumId w:val="8"/>
  </w:num>
  <w:num w:numId="9">
    <w:abstractNumId w:val="22"/>
  </w:num>
  <w:num w:numId="10">
    <w:abstractNumId w:val="28"/>
  </w:num>
  <w:num w:numId="11">
    <w:abstractNumId w:val="15"/>
  </w:num>
  <w:num w:numId="12">
    <w:abstractNumId w:val="3"/>
  </w:num>
  <w:num w:numId="13">
    <w:abstractNumId w:val="43"/>
  </w:num>
  <w:num w:numId="14">
    <w:abstractNumId w:val="26"/>
  </w:num>
  <w:num w:numId="15">
    <w:abstractNumId w:val="10"/>
  </w:num>
  <w:num w:numId="16">
    <w:abstractNumId w:val="32"/>
  </w:num>
  <w:num w:numId="17">
    <w:abstractNumId w:val="0"/>
  </w:num>
  <w:num w:numId="18">
    <w:abstractNumId w:val="17"/>
  </w:num>
  <w:num w:numId="19">
    <w:abstractNumId w:val="7"/>
  </w:num>
  <w:num w:numId="20">
    <w:abstractNumId w:val="37"/>
  </w:num>
  <w:num w:numId="21">
    <w:abstractNumId w:val="20"/>
  </w:num>
  <w:num w:numId="22">
    <w:abstractNumId w:val="39"/>
  </w:num>
  <w:num w:numId="23">
    <w:abstractNumId w:val="30"/>
  </w:num>
  <w:num w:numId="24">
    <w:abstractNumId w:val="42"/>
  </w:num>
  <w:num w:numId="25">
    <w:abstractNumId w:val="27"/>
  </w:num>
  <w:num w:numId="26">
    <w:abstractNumId w:val="21"/>
  </w:num>
  <w:num w:numId="27">
    <w:abstractNumId w:val="6"/>
  </w:num>
  <w:num w:numId="28">
    <w:abstractNumId w:val="34"/>
  </w:num>
  <w:num w:numId="29">
    <w:abstractNumId w:val="1"/>
  </w:num>
  <w:num w:numId="30">
    <w:abstractNumId w:val="5"/>
  </w:num>
  <w:num w:numId="31">
    <w:abstractNumId w:val="33"/>
  </w:num>
  <w:num w:numId="32">
    <w:abstractNumId w:val="9"/>
  </w:num>
  <w:num w:numId="33">
    <w:abstractNumId w:val="19"/>
  </w:num>
  <w:num w:numId="34">
    <w:abstractNumId w:val="44"/>
  </w:num>
  <w:num w:numId="35">
    <w:abstractNumId w:val="13"/>
  </w:num>
  <w:num w:numId="36">
    <w:abstractNumId w:val="4"/>
  </w:num>
  <w:num w:numId="37">
    <w:abstractNumId w:val="29"/>
  </w:num>
  <w:num w:numId="38">
    <w:abstractNumId w:val="14"/>
  </w:num>
  <w:num w:numId="39">
    <w:abstractNumId w:val="40"/>
  </w:num>
  <w:num w:numId="40">
    <w:abstractNumId w:val="18"/>
  </w:num>
  <w:num w:numId="41">
    <w:abstractNumId w:val="35"/>
  </w:num>
  <w:num w:numId="42">
    <w:abstractNumId w:val="16"/>
  </w:num>
  <w:num w:numId="43">
    <w:abstractNumId w:val="2"/>
  </w:num>
  <w:num w:numId="44">
    <w:abstractNumId w:val="38"/>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2"/>
  </w:compat>
  <w:docVars>
    <w:docVar w:name="__Grammarly_42____i" w:val="H4sIAAAAAAAEAKtWckksSQxILCpxzi/NK1GyMqwFAAEhoTITAAAA"/>
    <w:docVar w:name="__Grammarly_42___1" w:val="H4sIAAAAAAAEAKtWcslP9kxRslIyNDYyMDQ3NTe3MLQ0NzQ3MTBR0lEKTi0uzszPAymwtKgFAH36FH8tAAAA"/>
    <w:docVar w:name="commondata" w:val="eyJoZGlkIjoiZDExODU4OTgyZTZjYjg0YzUzNzA1YzUxMmJhYmJhYWUifQ=="/>
  </w:docVars>
  <w:rsids>
    <w:rsidRoot w:val="00E01F3D"/>
    <w:rsid w:val="00000120"/>
    <w:rsid w:val="00000F7C"/>
    <w:rsid w:val="00000F8F"/>
    <w:rsid w:val="000011E8"/>
    <w:rsid w:val="000012AA"/>
    <w:rsid w:val="000024FA"/>
    <w:rsid w:val="00002632"/>
    <w:rsid w:val="00003741"/>
    <w:rsid w:val="00004764"/>
    <w:rsid w:val="000047AF"/>
    <w:rsid w:val="000049D1"/>
    <w:rsid w:val="00004E52"/>
    <w:rsid w:val="000055A3"/>
    <w:rsid w:val="00005AF9"/>
    <w:rsid w:val="000061D9"/>
    <w:rsid w:val="00007AB9"/>
    <w:rsid w:val="00007EC9"/>
    <w:rsid w:val="000101AD"/>
    <w:rsid w:val="000106AA"/>
    <w:rsid w:val="000112AD"/>
    <w:rsid w:val="0001141E"/>
    <w:rsid w:val="00011D1E"/>
    <w:rsid w:val="00011DE2"/>
    <w:rsid w:val="0001212D"/>
    <w:rsid w:val="00012303"/>
    <w:rsid w:val="00012927"/>
    <w:rsid w:val="00013226"/>
    <w:rsid w:val="0001362D"/>
    <w:rsid w:val="00013726"/>
    <w:rsid w:val="00013E39"/>
    <w:rsid w:val="00014137"/>
    <w:rsid w:val="00015669"/>
    <w:rsid w:val="00015AA6"/>
    <w:rsid w:val="000163BE"/>
    <w:rsid w:val="0001658F"/>
    <w:rsid w:val="000201EC"/>
    <w:rsid w:val="0002025D"/>
    <w:rsid w:val="0002036F"/>
    <w:rsid w:val="000207A2"/>
    <w:rsid w:val="00021428"/>
    <w:rsid w:val="00021B1A"/>
    <w:rsid w:val="00021B5F"/>
    <w:rsid w:val="00021EB3"/>
    <w:rsid w:val="000229BB"/>
    <w:rsid w:val="00023796"/>
    <w:rsid w:val="000237B5"/>
    <w:rsid w:val="0002391D"/>
    <w:rsid w:val="00023F07"/>
    <w:rsid w:val="00024289"/>
    <w:rsid w:val="0002464E"/>
    <w:rsid w:val="00024A62"/>
    <w:rsid w:val="00024E03"/>
    <w:rsid w:val="00025727"/>
    <w:rsid w:val="00025B20"/>
    <w:rsid w:val="00025E11"/>
    <w:rsid w:val="00026B25"/>
    <w:rsid w:val="00026C11"/>
    <w:rsid w:val="00026C6B"/>
    <w:rsid w:val="000305D7"/>
    <w:rsid w:val="00030A86"/>
    <w:rsid w:val="00031612"/>
    <w:rsid w:val="00031B06"/>
    <w:rsid w:val="00033207"/>
    <w:rsid w:val="00033E38"/>
    <w:rsid w:val="0003472C"/>
    <w:rsid w:val="00034B62"/>
    <w:rsid w:val="00034DAB"/>
    <w:rsid w:val="00034F6F"/>
    <w:rsid w:val="00035AB3"/>
    <w:rsid w:val="0003777B"/>
    <w:rsid w:val="00040C11"/>
    <w:rsid w:val="00040F96"/>
    <w:rsid w:val="0004147A"/>
    <w:rsid w:val="00041F54"/>
    <w:rsid w:val="00042866"/>
    <w:rsid w:val="000428EB"/>
    <w:rsid w:val="00043666"/>
    <w:rsid w:val="000438BE"/>
    <w:rsid w:val="00043DCC"/>
    <w:rsid w:val="00044212"/>
    <w:rsid w:val="00045D8B"/>
    <w:rsid w:val="0004600A"/>
    <w:rsid w:val="00046562"/>
    <w:rsid w:val="00046D65"/>
    <w:rsid w:val="00047B0B"/>
    <w:rsid w:val="00050656"/>
    <w:rsid w:val="00050B44"/>
    <w:rsid w:val="00051649"/>
    <w:rsid w:val="000520F0"/>
    <w:rsid w:val="00052910"/>
    <w:rsid w:val="00052B0E"/>
    <w:rsid w:val="00052BAF"/>
    <w:rsid w:val="000533BC"/>
    <w:rsid w:val="00053497"/>
    <w:rsid w:val="000536A0"/>
    <w:rsid w:val="00053C57"/>
    <w:rsid w:val="00054665"/>
    <w:rsid w:val="000547BE"/>
    <w:rsid w:val="00055359"/>
    <w:rsid w:val="0005567B"/>
    <w:rsid w:val="00055F0D"/>
    <w:rsid w:val="0005644F"/>
    <w:rsid w:val="000577B4"/>
    <w:rsid w:val="00060211"/>
    <w:rsid w:val="00060358"/>
    <w:rsid w:val="00060A2C"/>
    <w:rsid w:val="00061083"/>
    <w:rsid w:val="00061BC8"/>
    <w:rsid w:val="00061ED6"/>
    <w:rsid w:val="000627FA"/>
    <w:rsid w:val="000628CA"/>
    <w:rsid w:val="00062CEA"/>
    <w:rsid w:val="000636F2"/>
    <w:rsid w:val="00063CB6"/>
    <w:rsid w:val="00063E8C"/>
    <w:rsid w:val="00063EF3"/>
    <w:rsid w:val="000641F1"/>
    <w:rsid w:val="00064ACE"/>
    <w:rsid w:val="00065C44"/>
    <w:rsid w:val="00065D65"/>
    <w:rsid w:val="0006609C"/>
    <w:rsid w:val="0006784B"/>
    <w:rsid w:val="00070349"/>
    <w:rsid w:val="00070428"/>
    <w:rsid w:val="00070452"/>
    <w:rsid w:val="00070461"/>
    <w:rsid w:val="0007076B"/>
    <w:rsid w:val="000707A5"/>
    <w:rsid w:val="00070A23"/>
    <w:rsid w:val="000710C4"/>
    <w:rsid w:val="00071BEF"/>
    <w:rsid w:val="00071C39"/>
    <w:rsid w:val="00072ABD"/>
    <w:rsid w:val="00073615"/>
    <w:rsid w:val="00073A7B"/>
    <w:rsid w:val="00074DB0"/>
    <w:rsid w:val="0007513E"/>
    <w:rsid w:val="000751C5"/>
    <w:rsid w:val="00075F65"/>
    <w:rsid w:val="000761C4"/>
    <w:rsid w:val="0007683F"/>
    <w:rsid w:val="00076918"/>
    <w:rsid w:val="0007786C"/>
    <w:rsid w:val="000779B4"/>
    <w:rsid w:val="00080231"/>
    <w:rsid w:val="00080569"/>
    <w:rsid w:val="0008088F"/>
    <w:rsid w:val="00081FBD"/>
    <w:rsid w:val="000827BA"/>
    <w:rsid w:val="00082D6F"/>
    <w:rsid w:val="000835D4"/>
    <w:rsid w:val="00083D15"/>
    <w:rsid w:val="000847EB"/>
    <w:rsid w:val="00084C8D"/>
    <w:rsid w:val="0008531E"/>
    <w:rsid w:val="000866AA"/>
    <w:rsid w:val="00086979"/>
    <w:rsid w:val="00086A62"/>
    <w:rsid w:val="00086AF7"/>
    <w:rsid w:val="00086DD1"/>
    <w:rsid w:val="00086E9B"/>
    <w:rsid w:val="0008791E"/>
    <w:rsid w:val="00087B55"/>
    <w:rsid w:val="00087C25"/>
    <w:rsid w:val="000912AB"/>
    <w:rsid w:val="00091555"/>
    <w:rsid w:val="00092A1D"/>
    <w:rsid w:val="00093415"/>
    <w:rsid w:val="0009350F"/>
    <w:rsid w:val="000939FF"/>
    <w:rsid w:val="00093BF4"/>
    <w:rsid w:val="00093CD9"/>
    <w:rsid w:val="00093CE6"/>
    <w:rsid w:val="00093EC5"/>
    <w:rsid w:val="00093F3A"/>
    <w:rsid w:val="000940CA"/>
    <w:rsid w:val="00094C77"/>
    <w:rsid w:val="000957D4"/>
    <w:rsid w:val="00095CD0"/>
    <w:rsid w:val="00095ED0"/>
    <w:rsid w:val="00096043"/>
    <w:rsid w:val="00096918"/>
    <w:rsid w:val="0009694E"/>
    <w:rsid w:val="00096F6A"/>
    <w:rsid w:val="00097540"/>
    <w:rsid w:val="00097705"/>
    <w:rsid w:val="000977B2"/>
    <w:rsid w:val="000A03DD"/>
    <w:rsid w:val="000A08C8"/>
    <w:rsid w:val="000A0E7F"/>
    <w:rsid w:val="000A14A5"/>
    <w:rsid w:val="000A14D0"/>
    <w:rsid w:val="000A1594"/>
    <w:rsid w:val="000A168F"/>
    <w:rsid w:val="000A200F"/>
    <w:rsid w:val="000A218E"/>
    <w:rsid w:val="000A273E"/>
    <w:rsid w:val="000A29B7"/>
    <w:rsid w:val="000A2F52"/>
    <w:rsid w:val="000A346C"/>
    <w:rsid w:val="000A37F1"/>
    <w:rsid w:val="000A3803"/>
    <w:rsid w:val="000A4771"/>
    <w:rsid w:val="000A5531"/>
    <w:rsid w:val="000A577C"/>
    <w:rsid w:val="000A63AC"/>
    <w:rsid w:val="000A664A"/>
    <w:rsid w:val="000B04F8"/>
    <w:rsid w:val="000B09E1"/>
    <w:rsid w:val="000B1407"/>
    <w:rsid w:val="000B156C"/>
    <w:rsid w:val="000B1ACE"/>
    <w:rsid w:val="000B20F2"/>
    <w:rsid w:val="000B2787"/>
    <w:rsid w:val="000B29F4"/>
    <w:rsid w:val="000B39D6"/>
    <w:rsid w:val="000B3AF8"/>
    <w:rsid w:val="000B406D"/>
    <w:rsid w:val="000B4449"/>
    <w:rsid w:val="000B4D72"/>
    <w:rsid w:val="000B5314"/>
    <w:rsid w:val="000B66C0"/>
    <w:rsid w:val="000B6FE3"/>
    <w:rsid w:val="000B70FF"/>
    <w:rsid w:val="000B71CD"/>
    <w:rsid w:val="000C0FF0"/>
    <w:rsid w:val="000C205B"/>
    <w:rsid w:val="000C2068"/>
    <w:rsid w:val="000C20D7"/>
    <w:rsid w:val="000C2589"/>
    <w:rsid w:val="000C26FD"/>
    <w:rsid w:val="000C284F"/>
    <w:rsid w:val="000C3A1B"/>
    <w:rsid w:val="000C3D91"/>
    <w:rsid w:val="000C3FDC"/>
    <w:rsid w:val="000C44CE"/>
    <w:rsid w:val="000C47E9"/>
    <w:rsid w:val="000C486F"/>
    <w:rsid w:val="000C52EA"/>
    <w:rsid w:val="000C537F"/>
    <w:rsid w:val="000C541C"/>
    <w:rsid w:val="000C5C82"/>
    <w:rsid w:val="000C5CB3"/>
    <w:rsid w:val="000C7076"/>
    <w:rsid w:val="000D0228"/>
    <w:rsid w:val="000D3010"/>
    <w:rsid w:val="000D3469"/>
    <w:rsid w:val="000D3D94"/>
    <w:rsid w:val="000D413A"/>
    <w:rsid w:val="000D48DD"/>
    <w:rsid w:val="000D502F"/>
    <w:rsid w:val="000D541B"/>
    <w:rsid w:val="000D6674"/>
    <w:rsid w:val="000D673F"/>
    <w:rsid w:val="000D6BD8"/>
    <w:rsid w:val="000D6DE2"/>
    <w:rsid w:val="000D781B"/>
    <w:rsid w:val="000D7859"/>
    <w:rsid w:val="000D7AC7"/>
    <w:rsid w:val="000D7D04"/>
    <w:rsid w:val="000E0056"/>
    <w:rsid w:val="000E02CF"/>
    <w:rsid w:val="000E0788"/>
    <w:rsid w:val="000E0893"/>
    <w:rsid w:val="000E1ACF"/>
    <w:rsid w:val="000E212F"/>
    <w:rsid w:val="000E24EA"/>
    <w:rsid w:val="000E252D"/>
    <w:rsid w:val="000E2A63"/>
    <w:rsid w:val="000E2C7F"/>
    <w:rsid w:val="000E319A"/>
    <w:rsid w:val="000E3420"/>
    <w:rsid w:val="000E343C"/>
    <w:rsid w:val="000E4E99"/>
    <w:rsid w:val="000E4EB7"/>
    <w:rsid w:val="000E4F1C"/>
    <w:rsid w:val="000E4F75"/>
    <w:rsid w:val="000E556B"/>
    <w:rsid w:val="000E5624"/>
    <w:rsid w:val="000E6025"/>
    <w:rsid w:val="000E605F"/>
    <w:rsid w:val="000E616F"/>
    <w:rsid w:val="000E648A"/>
    <w:rsid w:val="000E64CF"/>
    <w:rsid w:val="000E6C1D"/>
    <w:rsid w:val="000E71AB"/>
    <w:rsid w:val="000E73BF"/>
    <w:rsid w:val="000E75D0"/>
    <w:rsid w:val="000E7BA7"/>
    <w:rsid w:val="000E7D80"/>
    <w:rsid w:val="000F1843"/>
    <w:rsid w:val="000F1917"/>
    <w:rsid w:val="000F1CF5"/>
    <w:rsid w:val="000F2BD7"/>
    <w:rsid w:val="000F35CE"/>
    <w:rsid w:val="000F38A8"/>
    <w:rsid w:val="000F3C50"/>
    <w:rsid w:val="000F67B4"/>
    <w:rsid w:val="000F75DF"/>
    <w:rsid w:val="000F7A8B"/>
    <w:rsid w:val="00100344"/>
    <w:rsid w:val="00100780"/>
    <w:rsid w:val="00100CBC"/>
    <w:rsid w:val="00101477"/>
    <w:rsid w:val="00101B42"/>
    <w:rsid w:val="00101E8E"/>
    <w:rsid w:val="00102724"/>
    <w:rsid w:val="00102947"/>
    <w:rsid w:val="00102F0E"/>
    <w:rsid w:val="00103F27"/>
    <w:rsid w:val="00105438"/>
    <w:rsid w:val="00105667"/>
    <w:rsid w:val="00105BBC"/>
    <w:rsid w:val="00105DFB"/>
    <w:rsid w:val="001063BA"/>
    <w:rsid w:val="0010653B"/>
    <w:rsid w:val="00106A76"/>
    <w:rsid w:val="00106ACB"/>
    <w:rsid w:val="00107697"/>
    <w:rsid w:val="001109BC"/>
    <w:rsid w:val="0011132C"/>
    <w:rsid w:val="00111839"/>
    <w:rsid w:val="00112EE9"/>
    <w:rsid w:val="00113606"/>
    <w:rsid w:val="0011370F"/>
    <w:rsid w:val="0011398F"/>
    <w:rsid w:val="001141A7"/>
    <w:rsid w:val="001148B3"/>
    <w:rsid w:val="001152B4"/>
    <w:rsid w:val="00115311"/>
    <w:rsid w:val="001154C4"/>
    <w:rsid w:val="00115C0D"/>
    <w:rsid w:val="001161C7"/>
    <w:rsid w:val="001161E4"/>
    <w:rsid w:val="00116B65"/>
    <w:rsid w:val="00116FC1"/>
    <w:rsid w:val="00117154"/>
    <w:rsid w:val="00117ADF"/>
    <w:rsid w:val="00117DC5"/>
    <w:rsid w:val="00117E4A"/>
    <w:rsid w:val="00117E4D"/>
    <w:rsid w:val="00120173"/>
    <w:rsid w:val="001206F9"/>
    <w:rsid w:val="00121385"/>
    <w:rsid w:val="00121976"/>
    <w:rsid w:val="00121D37"/>
    <w:rsid w:val="00122AA6"/>
    <w:rsid w:val="001238A4"/>
    <w:rsid w:val="00123B92"/>
    <w:rsid w:val="001247E1"/>
    <w:rsid w:val="001253AA"/>
    <w:rsid w:val="00125493"/>
    <w:rsid w:val="00126218"/>
    <w:rsid w:val="00126B42"/>
    <w:rsid w:val="00130472"/>
    <w:rsid w:val="00130A3C"/>
    <w:rsid w:val="00133219"/>
    <w:rsid w:val="0013354D"/>
    <w:rsid w:val="00133F19"/>
    <w:rsid w:val="001345DD"/>
    <w:rsid w:val="00134D27"/>
    <w:rsid w:val="0013572C"/>
    <w:rsid w:val="00135D24"/>
    <w:rsid w:val="00135F2B"/>
    <w:rsid w:val="0013675B"/>
    <w:rsid w:val="00137350"/>
    <w:rsid w:val="00137565"/>
    <w:rsid w:val="00137C36"/>
    <w:rsid w:val="001400F6"/>
    <w:rsid w:val="00140444"/>
    <w:rsid w:val="00140802"/>
    <w:rsid w:val="0014095F"/>
    <w:rsid w:val="00141B67"/>
    <w:rsid w:val="00143301"/>
    <w:rsid w:val="00143844"/>
    <w:rsid w:val="001438AC"/>
    <w:rsid w:val="00143F01"/>
    <w:rsid w:val="001442AF"/>
    <w:rsid w:val="001445DE"/>
    <w:rsid w:val="00144C9C"/>
    <w:rsid w:val="00144DED"/>
    <w:rsid w:val="00144F0B"/>
    <w:rsid w:val="00145AD8"/>
    <w:rsid w:val="00147255"/>
    <w:rsid w:val="00147308"/>
    <w:rsid w:val="0014734C"/>
    <w:rsid w:val="00147450"/>
    <w:rsid w:val="00147727"/>
    <w:rsid w:val="00147E6D"/>
    <w:rsid w:val="0015028D"/>
    <w:rsid w:val="0015391C"/>
    <w:rsid w:val="00153C2F"/>
    <w:rsid w:val="00153F9D"/>
    <w:rsid w:val="0015415F"/>
    <w:rsid w:val="00154B78"/>
    <w:rsid w:val="00154B90"/>
    <w:rsid w:val="00155068"/>
    <w:rsid w:val="00155084"/>
    <w:rsid w:val="00155384"/>
    <w:rsid w:val="001554B2"/>
    <w:rsid w:val="00155EFA"/>
    <w:rsid w:val="001562AE"/>
    <w:rsid w:val="00156320"/>
    <w:rsid w:val="00156B6B"/>
    <w:rsid w:val="00157027"/>
    <w:rsid w:val="00157A58"/>
    <w:rsid w:val="00160042"/>
    <w:rsid w:val="0016027B"/>
    <w:rsid w:val="0016032F"/>
    <w:rsid w:val="001608C1"/>
    <w:rsid w:val="00161350"/>
    <w:rsid w:val="00161523"/>
    <w:rsid w:val="00162F97"/>
    <w:rsid w:val="00163AFA"/>
    <w:rsid w:val="00163C00"/>
    <w:rsid w:val="00164401"/>
    <w:rsid w:val="00164507"/>
    <w:rsid w:val="00164528"/>
    <w:rsid w:val="0016470E"/>
    <w:rsid w:val="00165328"/>
    <w:rsid w:val="0017057D"/>
    <w:rsid w:val="00170625"/>
    <w:rsid w:val="001706D6"/>
    <w:rsid w:val="0017123E"/>
    <w:rsid w:val="00172279"/>
    <w:rsid w:val="001723AF"/>
    <w:rsid w:val="00172AB0"/>
    <w:rsid w:val="00173058"/>
    <w:rsid w:val="00173A50"/>
    <w:rsid w:val="00173CE1"/>
    <w:rsid w:val="001744E7"/>
    <w:rsid w:val="001745A3"/>
    <w:rsid w:val="00174BE9"/>
    <w:rsid w:val="00174F77"/>
    <w:rsid w:val="00177222"/>
    <w:rsid w:val="0017786D"/>
    <w:rsid w:val="001801E1"/>
    <w:rsid w:val="0018096F"/>
    <w:rsid w:val="00180C56"/>
    <w:rsid w:val="00180FFE"/>
    <w:rsid w:val="0018148F"/>
    <w:rsid w:val="0018188A"/>
    <w:rsid w:val="00181901"/>
    <w:rsid w:val="00182012"/>
    <w:rsid w:val="00182BD8"/>
    <w:rsid w:val="00182D78"/>
    <w:rsid w:val="00182DCF"/>
    <w:rsid w:val="00183191"/>
    <w:rsid w:val="001839C5"/>
    <w:rsid w:val="00183C9B"/>
    <w:rsid w:val="00183FDD"/>
    <w:rsid w:val="0018429B"/>
    <w:rsid w:val="0018449E"/>
    <w:rsid w:val="00184848"/>
    <w:rsid w:val="0018495E"/>
    <w:rsid w:val="001856A4"/>
    <w:rsid w:val="00185B7D"/>
    <w:rsid w:val="001863A4"/>
    <w:rsid w:val="00186A66"/>
    <w:rsid w:val="001870C0"/>
    <w:rsid w:val="0018723A"/>
    <w:rsid w:val="00187493"/>
    <w:rsid w:val="0018758C"/>
    <w:rsid w:val="001908AD"/>
    <w:rsid w:val="00190C47"/>
    <w:rsid w:val="00190C72"/>
    <w:rsid w:val="00191029"/>
    <w:rsid w:val="001910D9"/>
    <w:rsid w:val="0019132C"/>
    <w:rsid w:val="00191426"/>
    <w:rsid w:val="00191D2E"/>
    <w:rsid w:val="001921C5"/>
    <w:rsid w:val="00192236"/>
    <w:rsid w:val="001924DF"/>
    <w:rsid w:val="00192932"/>
    <w:rsid w:val="00192AA6"/>
    <w:rsid w:val="00192DC0"/>
    <w:rsid w:val="001930BE"/>
    <w:rsid w:val="00193758"/>
    <w:rsid w:val="0019388E"/>
    <w:rsid w:val="00193F73"/>
    <w:rsid w:val="001944E0"/>
    <w:rsid w:val="00194C5A"/>
    <w:rsid w:val="001950CA"/>
    <w:rsid w:val="00195588"/>
    <w:rsid w:val="001968FE"/>
    <w:rsid w:val="00196AA1"/>
    <w:rsid w:val="00197876"/>
    <w:rsid w:val="00197E14"/>
    <w:rsid w:val="001A082E"/>
    <w:rsid w:val="001A084C"/>
    <w:rsid w:val="001A1625"/>
    <w:rsid w:val="001A3C8B"/>
    <w:rsid w:val="001A4FAB"/>
    <w:rsid w:val="001A5064"/>
    <w:rsid w:val="001A50E2"/>
    <w:rsid w:val="001A5601"/>
    <w:rsid w:val="001A61B1"/>
    <w:rsid w:val="001A6447"/>
    <w:rsid w:val="001A67B7"/>
    <w:rsid w:val="001A7DE2"/>
    <w:rsid w:val="001B04B8"/>
    <w:rsid w:val="001B08EE"/>
    <w:rsid w:val="001B0E01"/>
    <w:rsid w:val="001B0E65"/>
    <w:rsid w:val="001B1136"/>
    <w:rsid w:val="001B118F"/>
    <w:rsid w:val="001B13F6"/>
    <w:rsid w:val="001B2435"/>
    <w:rsid w:val="001B2E02"/>
    <w:rsid w:val="001B2F60"/>
    <w:rsid w:val="001B39E1"/>
    <w:rsid w:val="001B40AC"/>
    <w:rsid w:val="001B53CD"/>
    <w:rsid w:val="001B561B"/>
    <w:rsid w:val="001B5C9A"/>
    <w:rsid w:val="001B5DA4"/>
    <w:rsid w:val="001B5EA5"/>
    <w:rsid w:val="001B64EB"/>
    <w:rsid w:val="001B66F5"/>
    <w:rsid w:val="001B6BF6"/>
    <w:rsid w:val="001B6F74"/>
    <w:rsid w:val="001B6FA5"/>
    <w:rsid w:val="001B755C"/>
    <w:rsid w:val="001B7D77"/>
    <w:rsid w:val="001C029F"/>
    <w:rsid w:val="001C0542"/>
    <w:rsid w:val="001C09F6"/>
    <w:rsid w:val="001C0AFA"/>
    <w:rsid w:val="001C0DB8"/>
    <w:rsid w:val="001C1513"/>
    <w:rsid w:val="001C1E97"/>
    <w:rsid w:val="001C1F0D"/>
    <w:rsid w:val="001C2466"/>
    <w:rsid w:val="001C3763"/>
    <w:rsid w:val="001C389D"/>
    <w:rsid w:val="001C3936"/>
    <w:rsid w:val="001C5A40"/>
    <w:rsid w:val="001C5FEE"/>
    <w:rsid w:val="001C6530"/>
    <w:rsid w:val="001C7C90"/>
    <w:rsid w:val="001C7EEF"/>
    <w:rsid w:val="001D0903"/>
    <w:rsid w:val="001D0E6F"/>
    <w:rsid w:val="001D12AC"/>
    <w:rsid w:val="001D12B4"/>
    <w:rsid w:val="001D1F40"/>
    <w:rsid w:val="001D2424"/>
    <w:rsid w:val="001D2834"/>
    <w:rsid w:val="001D3D0C"/>
    <w:rsid w:val="001D45D1"/>
    <w:rsid w:val="001D4886"/>
    <w:rsid w:val="001D4916"/>
    <w:rsid w:val="001D4BFB"/>
    <w:rsid w:val="001D4E8F"/>
    <w:rsid w:val="001D5105"/>
    <w:rsid w:val="001D51FF"/>
    <w:rsid w:val="001D5FB8"/>
    <w:rsid w:val="001D65B4"/>
    <w:rsid w:val="001D68FD"/>
    <w:rsid w:val="001D6C84"/>
    <w:rsid w:val="001D6D9F"/>
    <w:rsid w:val="001D6E13"/>
    <w:rsid w:val="001D71BD"/>
    <w:rsid w:val="001D756F"/>
    <w:rsid w:val="001D7645"/>
    <w:rsid w:val="001E0042"/>
    <w:rsid w:val="001E0A4C"/>
    <w:rsid w:val="001E0B4C"/>
    <w:rsid w:val="001E170F"/>
    <w:rsid w:val="001E27A5"/>
    <w:rsid w:val="001E28D1"/>
    <w:rsid w:val="001E3700"/>
    <w:rsid w:val="001E406F"/>
    <w:rsid w:val="001E4142"/>
    <w:rsid w:val="001E4B84"/>
    <w:rsid w:val="001E5A30"/>
    <w:rsid w:val="001E680C"/>
    <w:rsid w:val="001E7582"/>
    <w:rsid w:val="001F0426"/>
    <w:rsid w:val="001F049F"/>
    <w:rsid w:val="001F0EF2"/>
    <w:rsid w:val="001F1128"/>
    <w:rsid w:val="001F1C1A"/>
    <w:rsid w:val="001F32AE"/>
    <w:rsid w:val="001F393C"/>
    <w:rsid w:val="001F3E50"/>
    <w:rsid w:val="001F3FC3"/>
    <w:rsid w:val="001F4C4E"/>
    <w:rsid w:val="001F4EC1"/>
    <w:rsid w:val="001F5B0D"/>
    <w:rsid w:val="001F5CD7"/>
    <w:rsid w:val="001F5FCD"/>
    <w:rsid w:val="001F5FDA"/>
    <w:rsid w:val="001F6CCE"/>
    <w:rsid w:val="001F7245"/>
    <w:rsid w:val="001F760D"/>
    <w:rsid w:val="00200197"/>
    <w:rsid w:val="00200660"/>
    <w:rsid w:val="00200C35"/>
    <w:rsid w:val="002013EF"/>
    <w:rsid w:val="002017FD"/>
    <w:rsid w:val="00202142"/>
    <w:rsid w:val="002025A9"/>
    <w:rsid w:val="00202B44"/>
    <w:rsid w:val="002032E0"/>
    <w:rsid w:val="00203660"/>
    <w:rsid w:val="00203DA4"/>
    <w:rsid w:val="00204ACB"/>
    <w:rsid w:val="00205865"/>
    <w:rsid w:val="0020778E"/>
    <w:rsid w:val="00210133"/>
    <w:rsid w:val="00211395"/>
    <w:rsid w:val="002115D1"/>
    <w:rsid w:val="002118AD"/>
    <w:rsid w:val="002122B7"/>
    <w:rsid w:val="00212C1D"/>
    <w:rsid w:val="00213070"/>
    <w:rsid w:val="002133A5"/>
    <w:rsid w:val="00213B9B"/>
    <w:rsid w:val="00213FE6"/>
    <w:rsid w:val="002144DA"/>
    <w:rsid w:val="00214784"/>
    <w:rsid w:val="00214943"/>
    <w:rsid w:val="00214B44"/>
    <w:rsid w:val="00214BF4"/>
    <w:rsid w:val="002153B4"/>
    <w:rsid w:val="00215C0D"/>
    <w:rsid w:val="00215E83"/>
    <w:rsid w:val="00215EC7"/>
    <w:rsid w:val="002161DD"/>
    <w:rsid w:val="00216C54"/>
    <w:rsid w:val="00216D78"/>
    <w:rsid w:val="00216D7F"/>
    <w:rsid w:val="00217A18"/>
    <w:rsid w:val="00217B2F"/>
    <w:rsid w:val="00220480"/>
    <w:rsid w:val="00220825"/>
    <w:rsid w:val="00220A28"/>
    <w:rsid w:val="00220A31"/>
    <w:rsid w:val="00220CAE"/>
    <w:rsid w:val="00221482"/>
    <w:rsid w:val="00221575"/>
    <w:rsid w:val="00223691"/>
    <w:rsid w:val="00223D57"/>
    <w:rsid w:val="00223D80"/>
    <w:rsid w:val="00223F59"/>
    <w:rsid w:val="002248AD"/>
    <w:rsid w:val="00225591"/>
    <w:rsid w:val="002255B1"/>
    <w:rsid w:val="002257F3"/>
    <w:rsid w:val="00225D00"/>
    <w:rsid w:val="00225D6D"/>
    <w:rsid w:val="00225DCB"/>
    <w:rsid w:val="00225F9E"/>
    <w:rsid w:val="0022611A"/>
    <w:rsid w:val="00226284"/>
    <w:rsid w:val="00226827"/>
    <w:rsid w:val="0022685B"/>
    <w:rsid w:val="00227677"/>
    <w:rsid w:val="00227827"/>
    <w:rsid w:val="00230BC5"/>
    <w:rsid w:val="00230C26"/>
    <w:rsid w:val="002317AD"/>
    <w:rsid w:val="002317D6"/>
    <w:rsid w:val="002317ED"/>
    <w:rsid w:val="00231CD3"/>
    <w:rsid w:val="002325B7"/>
    <w:rsid w:val="00232673"/>
    <w:rsid w:val="002331E1"/>
    <w:rsid w:val="00233299"/>
    <w:rsid w:val="002337A5"/>
    <w:rsid w:val="00233ED2"/>
    <w:rsid w:val="00234B55"/>
    <w:rsid w:val="00234FFD"/>
    <w:rsid w:val="0023509C"/>
    <w:rsid w:val="0023519A"/>
    <w:rsid w:val="00235EC5"/>
    <w:rsid w:val="00235ED3"/>
    <w:rsid w:val="00236871"/>
    <w:rsid w:val="00236900"/>
    <w:rsid w:val="0023750E"/>
    <w:rsid w:val="002375EF"/>
    <w:rsid w:val="00237AFA"/>
    <w:rsid w:val="00237EF7"/>
    <w:rsid w:val="0024008E"/>
    <w:rsid w:val="002406B1"/>
    <w:rsid w:val="00240D07"/>
    <w:rsid w:val="0024137A"/>
    <w:rsid w:val="00241627"/>
    <w:rsid w:val="002418D3"/>
    <w:rsid w:val="00241998"/>
    <w:rsid w:val="00242B4D"/>
    <w:rsid w:val="002433C5"/>
    <w:rsid w:val="0024349C"/>
    <w:rsid w:val="00243A83"/>
    <w:rsid w:val="00243ABE"/>
    <w:rsid w:val="002440CD"/>
    <w:rsid w:val="00244206"/>
    <w:rsid w:val="00244584"/>
    <w:rsid w:val="002445E6"/>
    <w:rsid w:val="002445EB"/>
    <w:rsid w:val="0024514A"/>
    <w:rsid w:val="002454B2"/>
    <w:rsid w:val="00245E37"/>
    <w:rsid w:val="00251681"/>
    <w:rsid w:val="00251B82"/>
    <w:rsid w:val="00252996"/>
    <w:rsid w:val="00253054"/>
    <w:rsid w:val="002531FA"/>
    <w:rsid w:val="002535F4"/>
    <w:rsid w:val="00253839"/>
    <w:rsid w:val="002540B4"/>
    <w:rsid w:val="002541AD"/>
    <w:rsid w:val="002543BB"/>
    <w:rsid w:val="0025453A"/>
    <w:rsid w:val="00255DAD"/>
    <w:rsid w:val="002561DE"/>
    <w:rsid w:val="002577FB"/>
    <w:rsid w:val="00260427"/>
    <w:rsid w:val="002609A2"/>
    <w:rsid w:val="0026121A"/>
    <w:rsid w:val="0026152F"/>
    <w:rsid w:val="002632D7"/>
    <w:rsid w:val="002650E5"/>
    <w:rsid w:val="00265B0C"/>
    <w:rsid w:val="00265B53"/>
    <w:rsid w:val="00265CBA"/>
    <w:rsid w:val="0026655C"/>
    <w:rsid w:val="002665E2"/>
    <w:rsid w:val="002667E2"/>
    <w:rsid w:val="0026711A"/>
    <w:rsid w:val="002674B9"/>
    <w:rsid w:val="002675AC"/>
    <w:rsid w:val="00270541"/>
    <w:rsid w:val="00272447"/>
    <w:rsid w:val="002746BE"/>
    <w:rsid w:val="00275B77"/>
    <w:rsid w:val="00275B7E"/>
    <w:rsid w:val="0027621E"/>
    <w:rsid w:val="00276EAF"/>
    <w:rsid w:val="00277125"/>
    <w:rsid w:val="00277813"/>
    <w:rsid w:val="00277D10"/>
    <w:rsid w:val="0028032D"/>
    <w:rsid w:val="0028062D"/>
    <w:rsid w:val="00280A40"/>
    <w:rsid w:val="00281F7D"/>
    <w:rsid w:val="00281F8E"/>
    <w:rsid w:val="002832C6"/>
    <w:rsid w:val="002833FB"/>
    <w:rsid w:val="0028349F"/>
    <w:rsid w:val="00283A61"/>
    <w:rsid w:val="00283EEA"/>
    <w:rsid w:val="00284473"/>
    <w:rsid w:val="00284C11"/>
    <w:rsid w:val="00285C42"/>
    <w:rsid w:val="002864A0"/>
    <w:rsid w:val="002872AA"/>
    <w:rsid w:val="00287C8B"/>
    <w:rsid w:val="00290175"/>
    <w:rsid w:val="002901B6"/>
    <w:rsid w:val="00290432"/>
    <w:rsid w:val="00290C53"/>
    <w:rsid w:val="00290FA6"/>
    <w:rsid w:val="0029157C"/>
    <w:rsid w:val="0029193B"/>
    <w:rsid w:val="00292403"/>
    <w:rsid w:val="00292651"/>
    <w:rsid w:val="00292953"/>
    <w:rsid w:val="00292A36"/>
    <w:rsid w:val="00292CB5"/>
    <w:rsid w:val="00293527"/>
    <w:rsid w:val="002939DC"/>
    <w:rsid w:val="00294465"/>
    <w:rsid w:val="0029555D"/>
    <w:rsid w:val="002960BA"/>
    <w:rsid w:val="0029683A"/>
    <w:rsid w:val="00296FD4"/>
    <w:rsid w:val="002978A2"/>
    <w:rsid w:val="00297E92"/>
    <w:rsid w:val="002A0B0F"/>
    <w:rsid w:val="002A2513"/>
    <w:rsid w:val="002A269A"/>
    <w:rsid w:val="002A2BF7"/>
    <w:rsid w:val="002A2E9B"/>
    <w:rsid w:val="002A3360"/>
    <w:rsid w:val="002A35CC"/>
    <w:rsid w:val="002A39EF"/>
    <w:rsid w:val="002A4406"/>
    <w:rsid w:val="002A45C8"/>
    <w:rsid w:val="002A4E56"/>
    <w:rsid w:val="002A5068"/>
    <w:rsid w:val="002A74CD"/>
    <w:rsid w:val="002B0290"/>
    <w:rsid w:val="002B05B9"/>
    <w:rsid w:val="002B06EF"/>
    <w:rsid w:val="002B0AA8"/>
    <w:rsid w:val="002B0F1E"/>
    <w:rsid w:val="002B11EB"/>
    <w:rsid w:val="002B1698"/>
    <w:rsid w:val="002B1AD6"/>
    <w:rsid w:val="002B1C1A"/>
    <w:rsid w:val="002B23CA"/>
    <w:rsid w:val="002B3018"/>
    <w:rsid w:val="002B371A"/>
    <w:rsid w:val="002B3C0B"/>
    <w:rsid w:val="002B3F51"/>
    <w:rsid w:val="002B418D"/>
    <w:rsid w:val="002B4960"/>
    <w:rsid w:val="002B5318"/>
    <w:rsid w:val="002B5326"/>
    <w:rsid w:val="002B5BFE"/>
    <w:rsid w:val="002B5D30"/>
    <w:rsid w:val="002B6955"/>
    <w:rsid w:val="002B7E6E"/>
    <w:rsid w:val="002C0125"/>
    <w:rsid w:val="002C0C19"/>
    <w:rsid w:val="002C109A"/>
    <w:rsid w:val="002C113E"/>
    <w:rsid w:val="002C1292"/>
    <w:rsid w:val="002C1DB1"/>
    <w:rsid w:val="002C1F07"/>
    <w:rsid w:val="002C2087"/>
    <w:rsid w:val="002C3006"/>
    <w:rsid w:val="002C30E6"/>
    <w:rsid w:val="002C3DBE"/>
    <w:rsid w:val="002C4118"/>
    <w:rsid w:val="002C481A"/>
    <w:rsid w:val="002C4B40"/>
    <w:rsid w:val="002C4BD8"/>
    <w:rsid w:val="002C4D5A"/>
    <w:rsid w:val="002C5621"/>
    <w:rsid w:val="002C58A7"/>
    <w:rsid w:val="002C7193"/>
    <w:rsid w:val="002C7A56"/>
    <w:rsid w:val="002C7BDA"/>
    <w:rsid w:val="002D0ECE"/>
    <w:rsid w:val="002D11D5"/>
    <w:rsid w:val="002D20D7"/>
    <w:rsid w:val="002D26EA"/>
    <w:rsid w:val="002D2C68"/>
    <w:rsid w:val="002D2D6B"/>
    <w:rsid w:val="002D2D75"/>
    <w:rsid w:val="002D3312"/>
    <w:rsid w:val="002D3857"/>
    <w:rsid w:val="002D3C19"/>
    <w:rsid w:val="002D4A2E"/>
    <w:rsid w:val="002D4D4D"/>
    <w:rsid w:val="002D53F6"/>
    <w:rsid w:val="002D5ED3"/>
    <w:rsid w:val="002D6C10"/>
    <w:rsid w:val="002D6E37"/>
    <w:rsid w:val="002D7FD5"/>
    <w:rsid w:val="002E1351"/>
    <w:rsid w:val="002E17CC"/>
    <w:rsid w:val="002E1BE1"/>
    <w:rsid w:val="002E1F20"/>
    <w:rsid w:val="002E26D0"/>
    <w:rsid w:val="002E2CAD"/>
    <w:rsid w:val="002E4685"/>
    <w:rsid w:val="002E4718"/>
    <w:rsid w:val="002E48F9"/>
    <w:rsid w:val="002E4999"/>
    <w:rsid w:val="002E4D99"/>
    <w:rsid w:val="002E506B"/>
    <w:rsid w:val="002E573F"/>
    <w:rsid w:val="002E59F8"/>
    <w:rsid w:val="002E5E8F"/>
    <w:rsid w:val="002F09E1"/>
    <w:rsid w:val="002F0ECA"/>
    <w:rsid w:val="002F1F63"/>
    <w:rsid w:val="002F1FE4"/>
    <w:rsid w:val="002F2D93"/>
    <w:rsid w:val="002F2DA4"/>
    <w:rsid w:val="002F31FC"/>
    <w:rsid w:val="002F32D8"/>
    <w:rsid w:val="002F340C"/>
    <w:rsid w:val="002F3D4C"/>
    <w:rsid w:val="002F481B"/>
    <w:rsid w:val="002F49FE"/>
    <w:rsid w:val="002F4D8B"/>
    <w:rsid w:val="002F4DF7"/>
    <w:rsid w:val="002F5099"/>
    <w:rsid w:val="002F55D0"/>
    <w:rsid w:val="002F55D3"/>
    <w:rsid w:val="002F57D7"/>
    <w:rsid w:val="002F5C50"/>
    <w:rsid w:val="002F5D3A"/>
    <w:rsid w:val="002F7496"/>
    <w:rsid w:val="003000A8"/>
    <w:rsid w:val="00300228"/>
    <w:rsid w:val="0030123E"/>
    <w:rsid w:val="0030228D"/>
    <w:rsid w:val="003022E2"/>
    <w:rsid w:val="00302651"/>
    <w:rsid w:val="00302C71"/>
    <w:rsid w:val="00303432"/>
    <w:rsid w:val="00303603"/>
    <w:rsid w:val="00304433"/>
    <w:rsid w:val="003046B7"/>
    <w:rsid w:val="00304D53"/>
    <w:rsid w:val="00304FD9"/>
    <w:rsid w:val="003055DF"/>
    <w:rsid w:val="00305FA3"/>
    <w:rsid w:val="00306B90"/>
    <w:rsid w:val="003078A7"/>
    <w:rsid w:val="003106DF"/>
    <w:rsid w:val="00310921"/>
    <w:rsid w:val="00310DBB"/>
    <w:rsid w:val="00311359"/>
    <w:rsid w:val="003116DD"/>
    <w:rsid w:val="003121D8"/>
    <w:rsid w:val="003130A1"/>
    <w:rsid w:val="00313276"/>
    <w:rsid w:val="00314038"/>
    <w:rsid w:val="00314D26"/>
    <w:rsid w:val="00314D57"/>
    <w:rsid w:val="003156BC"/>
    <w:rsid w:val="003161AF"/>
    <w:rsid w:val="00317030"/>
    <w:rsid w:val="00317B07"/>
    <w:rsid w:val="00317D09"/>
    <w:rsid w:val="00317E11"/>
    <w:rsid w:val="0032083C"/>
    <w:rsid w:val="0032102A"/>
    <w:rsid w:val="0032109B"/>
    <w:rsid w:val="00321658"/>
    <w:rsid w:val="00321665"/>
    <w:rsid w:val="003219E2"/>
    <w:rsid w:val="00321B3F"/>
    <w:rsid w:val="00323002"/>
    <w:rsid w:val="003234F4"/>
    <w:rsid w:val="0032366E"/>
    <w:rsid w:val="00323DBE"/>
    <w:rsid w:val="00324328"/>
    <w:rsid w:val="003243D4"/>
    <w:rsid w:val="00324AB3"/>
    <w:rsid w:val="00325363"/>
    <w:rsid w:val="00325555"/>
    <w:rsid w:val="00325762"/>
    <w:rsid w:val="00325E61"/>
    <w:rsid w:val="003260AF"/>
    <w:rsid w:val="00326B9F"/>
    <w:rsid w:val="00327389"/>
    <w:rsid w:val="003276DC"/>
    <w:rsid w:val="00330BBE"/>
    <w:rsid w:val="00330C79"/>
    <w:rsid w:val="00331173"/>
    <w:rsid w:val="00331389"/>
    <w:rsid w:val="0033246F"/>
    <w:rsid w:val="00333FDF"/>
    <w:rsid w:val="00334453"/>
    <w:rsid w:val="00334678"/>
    <w:rsid w:val="00334A34"/>
    <w:rsid w:val="003368DA"/>
    <w:rsid w:val="00336E0D"/>
    <w:rsid w:val="00336E91"/>
    <w:rsid w:val="003404AB"/>
    <w:rsid w:val="0034124F"/>
    <w:rsid w:val="0034132D"/>
    <w:rsid w:val="00341BEA"/>
    <w:rsid w:val="0034273D"/>
    <w:rsid w:val="00342951"/>
    <w:rsid w:val="0034388A"/>
    <w:rsid w:val="00344CD9"/>
    <w:rsid w:val="003457BA"/>
    <w:rsid w:val="00345C41"/>
    <w:rsid w:val="00346344"/>
    <w:rsid w:val="00346F5D"/>
    <w:rsid w:val="003475ED"/>
    <w:rsid w:val="00350070"/>
    <w:rsid w:val="003501AA"/>
    <w:rsid w:val="003515EF"/>
    <w:rsid w:val="0035227D"/>
    <w:rsid w:val="00352F83"/>
    <w:rsid w:val="00353121"/>
    <w:rsid w:val="00354260"/>
    <w:rsid w:val="0035468A"/>
    <w:rsid w:val="00354D4D"/>
    <w:rsid w:val="00354E92"/>
    <w:rsid w:val="00356D39"/>
    <w:rsid w:val="00356DF9"/>
    <w:rsid w:val="00356FF8"/>
    <w:rsid w:val="00357744"/>
    <w:rsid w:val="00357C2D"/>
    <w:rsid w:val="00357C50"/>
    <w:rsid w:val="00360731"/>
    <w:rsid w:val="003609E7"/>
    <w:rsid w:val="00361852"/>
    <w:rsid w:val="00361855"/>
    <w:rsid w:val="00361A9B"/>
    <w:rsid w:val="00362AB3"/>
    <w:rsid w:val="0036341C"/>
    <w:rsid w:val="0036393C"/>
    <w:rsid w:val="00363EC6"/>
    <w:rsid w:val="003645A7"/>
    <w:rsid w:val="00364C15"/>
    <w:rsid w:val="00365B2D"/>
    <w:rsid w:val="00365BD3"/>
    <w:rsid w:val="00366552"/>
    <w:rsid w:val="003675EB"/>
    <w:rsid w:val="003677D2"/>
    <w:rsid w:val="00367B84"/>
    <w:rsid w:val="003711A0"/>
    <w:rsid w:val="00371223"/>
    <w:rsid w:val="00371AEF"/>
    <w:rsid w:val="00371B02"/>
    <w:rsid w:val="00371B3E"/>
    <w:rsid w:val="00373045"/>
    <w:rsid w:val="00373315"/>
    <w:rsid w:val="00374522"/>
    <w:rsid w:val="00374579"/>
    <w:rsid w:val="00375A71"/>
    <w:rsid w:val="00376889"/>
    <w:rsid w:val="00376C41"/>
    <w:rsid w:val="00377550"/>
    <w:rsid w:val="003776CF"/>
    <w:rsid w:val="00377C7B"/>
    <w:rsid w:val="00380B1D"/>
    <w:rsid w:val="0038114A"/>
    <w:rsid w:val="00381517"/>
    <w:rsid w:val="00381DDB"/>
    <w:rsid w:val="00382260"/>
    <w:rsid w:val="00382297"/>
    <w:rsid w:val="003824A5"/>
    <w:rsid w:val="003828BA"/>
    <w:rsid w:val="00382909"/>
    <w:rsid w:val="00382E2E"/>
    <w:rsid w:val="0038300D"/>
    <w:rsid w:val="00383256"/>
    <w:rsid w:val="00383274"/>
    <w:rsid w:val="00384403"/>
    <w:rsid w:val="00384AAF"/>
    <w:rsid w:val="00386FD0"/>
    <w:rsid w:val="003874BC"/>
    <w:rsid w:val="00387535"/>
    <w:rsid w:val="003876DB"/>
    <w:rsid w:val="00387CF5"/>
    <w:rsid w:val="0039031D"/>
    <w:rsid w:val="003907FF"/>
    <w:rsid w:val="00390E2E"/>
    <w:rsid w:val="003912B6"/>
    <w:rsid w:val="003915E1"/>
    <w:rsid w:val="003922AC"/>
    <w:rsid w:val="00392317"/>
    <w:rsid w:val="0039244C"/>
    <w:rsid w:val="00392A6E"/>
    <w:rsid w:val="00393669"/>
    <w:rsid w:val="003936EF"/>
    <w:rsid w:val="00393773"/>
    <w:rsid w:val="00393B62"/>
    <w:rsid w:val="00394599"/>
    <w:rsid w:val="003948C9"/>
    <w:rsid w:val="00394DEE"/>
    <w:rsid w:val="0039528D"/>
    <w:rsid w:val="003959E0"/>
    <w:rsid w:val="00395F22"/>
    <w:rsid w:val="00396E63"/>
    <w:rsid w:val="00396F2B"/>
    <w:rsid w:val="003974AD"/>
    <w:rsid w:val="003975C9"/>
    <w:rsid w:val="003A0454"/>
    <w:rsid w:val="003A1565"/>
    <w:rsid w:val="003A18A9"/>
    <w:rsid w:val="003A1ACA"/>
    <w:rsid w:val="003A1E13"/>
    <w:rsid w:val="003A214A"/>
    <w:rsid w:val="003A2382"/>
    <w:rsid w:val="003A25CC"/>
    <w:rsid w:val="003A2FD2"/>
    <w:rsid w:val="003A402B"/>
    <w:rsid w:val="003A4297"/>
    <w:rsid w:val="003A485E"/>
    <w:rsid w:val="003A55FF"/>
    <w:rsid w:val="003A5C7F"/>
    <w:rsid w:val="003A64C0"/>
    <w:rsid w:val="003A675F"/>
    <w:rsid w:val="003A6F72"/>
    <w:rsid w:val="003A74F7"/>
    <w:rsid w:val="003A756E"/>
    <w:rsid w:val="003B1352"/>
    <w:rsid w:val="003B1759"/>
    <w:rsid w:val="003B1984"/>
    <w:rsid w:val="003B1A6C"/>
    <w:rsid w:val="003B2218"/>
    <w:rsid w:val="003B3364"/>
    <w:rsid w:val="003B33BB"/>
    <w:rsid w:val="003B367D"/>
    <w:rsid w:val="003B4253"/>
    <w:rsid w:val="003B5199"/>
    <w:rsid w:val="003B5542"/>
    <w:rsid w:val="003B598F"/>
    <w:rsid w:val="003B67E9"/>
    <w:rsid w:val="003B6876"/>
    <w:rsid w:val="003B71A9"/>
    <w:rsid w:val="003C02BA"/>
    <w:rsid w:val="003C065B"/>
    <w:rsid w:val="003C0F1B"/>
    <w:rsid w:val="003C0FE5"/>
    <w:rsid w:val="003C1275"/>
    <w:rsid w:val="003C1904"/>
    <w:rsid w:val="003C1C47"/>
    <w:rsid w:val="003C1D57"/>
    <w:rsid w:val="003C2015"/>
    <w:rsid w:val="003C24FD"/>
    <w:rsid w:val="003C27E5"/>
    <w:rsid w:val="003C2B63"/>
    <w:rsid w:val="003C3348"/>
    <w:rsid w:val="003C387A"/>
    <w:rsid w:val="003C3D7F"/>
    <w:rsid w:val="003C4339"/>
    <w:rsid w:val="003C4A1B"/>
    <w:rsid w:val="003C4F57"/>
    <w:rsid w:val="003C5613"/>
    <w:rsid w:val="003C56EA"/>
    <w:rsid w:val="003C58BB"/>
    <w:rsid w:val="003C5BE6"/>
    <w:rsid w:val="003C5C45"/>
    <w:rsid w:val="003C5EA2"/>
    <w:rsid w:val="003C6944"/>
    <w:rsid w:val="003C6A93"/>
    <w:rsid w:val="003C7181"/>
    <w:rsid w:val="003C7218"/>
    <w:rsid w:val="003C743A"/>
    <w:rsid w:val="003C74B7"/>
    <w:rsid w:val="003C75B6"/>
    <w:rsid w:val="003C7DE0"/>
    <w:rsid w:val="003C7F45"/>
    <w:rsid w:val="003D0556"/>
    <w:rsid w:val="003D0B8E"/>
    <w:rsid w:val="003D1ACA"/>
    <w:rsid w:val="003D1D67"/>
    <w:rsid w:val="003D28E3"/>
    <w:rsid w:val="003D2AFD"/>
    <w:rsid w:val="003D387B"/>
    <w:rsid w:val="003D3C00"/>
    <w:rsid w:val="003D49DD"/>
    <w:rsid w:val="003D51CA"/>
    <w:rsid w:val="003D69E4"/>
    <w:rsid w:val="003D6A59"/>
    <w:rsid w:val="003D7191"/>
    <w:rsid w:val="003D725B"/>
    <w:rsid w:val="003E0151"/>
    <w:rsid w:val="003E05FD"/>
    <w:rsid w:val="003E0880"/>
    <w:rsid w:val="003E0B75"/>
    <w:rsid w:val="003E152E"/>
    <w:rsid w:val="003E1C18"/>
    <w:rsid w:val="003E1D4A"/>
    <w:rsid w:val="003E22D0"/>
    <w:rsid w:val="003E38F0"/>
    <w:rsid w:val="003E39AF"/>
    <w:rsid w:val="003E3D66"/>
    <w:rsid w:val="003E4175"/>
    <w:rsid w:val="003E46B0"/>
    <w:rsid w:val="003E4737"/>
    <w:rsid w:val="003E51AC"/>
    <w:rsid w:val="003E52FA"/>
    <w:rsid w:val="003E6743"/>
    <w:rsid w:val="003E6F45"/>
    <w:rsid w:val="003E7716"/>
    <w:rsid w:val="003E78CC"/>
    <w:rsid w:val="003E7B68"/>
    <w:rsid w:val="003E7EA6"/>
    <w:rsid w:val="003E7ED3"/>
    <w:rsid w:val="003E7F9E"/>
    <w:rsid w:val="003F00C1"/>
    <w:rsid w:val="003F06A6"/>
    <w:rsid w:val="003F1AFB"/>
    <w:rsid w:val="003F1E27"/>
    <w:rsid w:val="003F2011"/>
    <w:rsid w:val="003F2593"/>
    <w:rsid w:val="003F2F09"/>
    <w:rsid w:val="003F2F91"/>
    <w:rsid w:val="003F3583"/>
    <w:rsid w:val="003F45B8"/>
    <w:rsid w:val="003F45DC"/>
    <w:rsid w:val="003F45E0"/>
    <w:rsid w:val="003F48BA"/>
    <w:rsid w:val="003F4F99"/>
    <w:rsid w:val="003F531C"/>
    <w:rsid w:val="003F6501"/>
    <w:rsid w:val="003F78EB"/>
    <w:rsid w:val="004000A6"/>
    <w:rsid w:val="004004B1"/>
    <w:rsid w:val="00400605"/>
    <w:rsid w:val="0040334B"/>
    <w:rsid w:val="00403944"/>
    <w:rsid w:val="0040394D"/>
    <w:rsid w:val="00403E68"/>
    <w:rsid w:val="004043A9"/>
    <w:rsid w:val="004047B4"/>
    <w:rsid w:val="00405306"/>
    <w:rsid w:val="00405443"/>
    <w:rsid w:val="004060C8"/>
    <w:rsid w:val="004063FB"/>
    <w:rsid w:val="00406566"/>
    <w:rsid w:val="00406ECD"/>
    <w:rsid w:val="004079D9"/>
    <w:rsid w:val="00407B31"/>
    <w:rsid w:val="00407C40"/>
    <w:rsid w:val="0040A7D6"/>
    <w:rsid w:val="0041009F"/>
    <w:rsid w:val="004109BC"/>
    <w:rsid w:val="00410D34"/>
    <w:rsid w:val="00410E29"/>
    <w:rsid w:val="00410E8A"/>
    <w:rsid w:val="00411190"/>
    <w:rsid w:val="00412916"/>
    <w:rsid w:val="00412B2E"/>
    <w:rsid w:val="00412E64"/>
    <w:rsid w:val="00413100"/>
    <w:rsid w:val="00413EF6"/>
    <w:rsid w:val="00414792"/>
    <w:rsid w:val="00414851"/>
    <w:rsid w:val="00414C6D"/>
    <w:rsid w:val="00414D9F"/>
    <w:rsid w:val="00414EE4"/>
    <w:rsid w:val="004151E7"/>
    <w:rsid w:val="004157AB"/>
    <w:rsid w:val="00415D7A"/>
    <w:rsid w:val="0041666A"/>
    <w:rsid w:val="004167AC"/>
    <w:rsid w:val="00416B81"/>
    <w:rsid w:val="00416C8C"/>
    <w:rsid w:val="00417854"/>
    <w:rsid w:val="00417896"/>
    <w:rsid w:val="004179E7"/>
    <w:rsid w:val="00420D75"/>
    <w:rsid w:val="00420FAB"/>
    <w:rsid w:val="004214B0"/>
    <w:rsid w:val="004220A3"/>
    <w:rsid w:val="00422316"/>
    <w:rsid w:val="004226FE"/>
    <w:rsid w:val="004235F0"/>
    <w:rsid w:val="004236ED"/>
    <w:rsid w:val="00424638"/>
    <w:rsid w:val="004249C5"/>
    <w:rsid w:val="00424DD4"/>
    <w:rsid w:val="004258FE"/>
    <w:rsid w:val="00425E2E"/>
    <w:rsid w:val="004277CF"/>
    <w:rsid w:val="00427A87"/>
    <w:rsid w:val="00427A8A"/>
    <w:rsid w:val="004305CD"/>
    <w:rsid w:val="00430915"/>
    <w:rsid w:val="00430E04"/>
    <w:rsid w:val="0043118F"/>
    <w:rsid w:val="0043160F"/>
    <w:rsid w:val="00431B2A"/>
    <w:rsid w:val="00431E6C"/>
    <w:rsid w:val="00432E33"/>
    <w:rsid w:val="00432E46"/>
    <w:rsid w:val="004337F6"/>
    <w:rsid w:val="00433E63"/>
    <w:rsid w:val="004351F2"/>
    <w:rsid w:val="00435AAE"/>
    <w:rsid w:val="00436915"/>
    <w:rsid w:val="00436C03"/>
    <w:rsid w:val="00437156"/>
    <w:rsid w:val="004377DF"/>
    <w:rsid w:val="00440769"/>
    <w:rsid w:val="00440919"/>
    <w:rsid w:val="00440D98"/>
    <w:rsid w:val="00440DD4"/>
    <w:rsid w:val="00442094"/>
    <w:rsid w:val="004429EB"/>
    <w:rsid w:val="00442AEA"/>
    <w:rsid w:val="004430C7"/>
    <w:rsid w:val="004431A7"/>
    <w:rsid w:val="00443A17"/>
    <w:rsid w:val="00443B63"/>
    <w:rsid w:val="00443B85"/>
    <w:rsid w:val="00444611"/>
    <w:rsid w:val="00444C41"/>
    <w:rsid w:val="00445686"/>
    <w:rsid w:val="00445967"/>
    <w:rsid w:val="00445AD2"/>
    <w:rsid w:val="00445BC1"/>
    <w:rsid w:val="00445D85"/>
    <w:rsid w:val="004461FF"/>
    <w:rsid w:val="004468E5"/>
    <w:rsid w:val="00446EB3"/>
    <w:rsid w:val="004470AF"/>
    <w:rsid w:val="00447D39"/>
    <w:rsid w:val="00450096"/>
    <w:rsid w:val="0045057A"/>
    <w:rsid w:val="0045066A"/>
    <w:rsid w:val="00450F9E"/>
    <w:rsid w:val="00451769"/>
    <w:rsid w:val="00451C1A"/>
    <w:rsid w:val="00452E21"/>
    <w:rsid w:val="00453B5F"/>
    <w:rsid w:val="0045410E"/>
    <w:rsid w:val="00454A18"/>
    <w:rsid w:val="004551C1"/>
    <w:rsid w:val="004552BC"/>
    <w:rsid w:val="00455524"/>
    <w:rsid w:val="00455B3A"/>
    <w:rsid w:val="00456859"/>
    <w:rsid w:val="00456FCB"/>
    <w:rsid w:val="00457764"/>
    <w:rsid w:val="00460A88"/>
    <w:rsid w:val="0046168D"/>
    <w:rsid w:val="00461AB9"/>
    <w:rsid w:val="004623C7"/>
    <w:rsid w:val="004625BF"/>
    <w:rsid w:val="004628E1"/>
    <w:rsid w:val="00464C30"/>
    <w:rsid w:val="0046510C"/>
    <w:rsid w:val="004652EB"/>
    <w:rsid w:val="004659B0"/>
    <w:rsid w:val="0046639E"/>
    <w:rsid w:val="004663CE"/>
    <w:rsid w:val="00466C42"/>
    <w:rsid w:val="0046736B"/>
    <w:rsid w:val="00467687"/>
    <w:rsid w:val="00467AC1"/>
    <w:rsid w:val="00467ECC"/>
    <w:rsid w:val="0047042E"/>
    <w:rsid w:val="004709C8"/>
    <w:rsid w:val="00470AAD"/>
    <w:rsid w:val="00471F72"/>
    <w:rsid w:val="004730EF"/>
    <w:rsid w:val="00473A05"/>
    <w:rsid w:val="00473AA1"/>
    <w:rsid w:val="004742E2"/>
    <w:rsid w:val="004744B8"/>
    <w:rsid w:val="00474952"/>
    <w:rsid w:val="004749C3"/>
    <w:rsid w:val="00475451"/>
    <w:rsid w:val="004754F5"/>
    <w:rsid w:val="0047555E"/>
    <w:rsid w:val="00475859"/>
    <w:rsid w:val="00475902"/>
    <w:rsid w:val="0047633F"/>
    <w:rsid w:val="0047642B"/>
    <w:rsid w:val="004767E2"/>
    <w:rsid w:val="0047683E"/>
    <w:rsid w:val="00476B02"/>
    <w:rsid w:val="00476C15"/>
    <w:rsid w:val="0048042C"/>
    <w:rsid w:val="0048045C"/>
    <w:rsid w:val="0048171B"/>
    <w:rsid w:val="004819DE"/>
    <w:rsid w:val="00481D94"/>
    <w:rsid w:val="0048229C"/>
    <w:rsid w:val="00482418"/>
    <w:rsid w:val="00483275"/>
    <w:rsid w:val="00483FB7"/>
    <w:rsid w:val="004840C4"/>
    <w:rsid w:val="004848A0"/>
    <w:rsid w:val="0048582E"/>
    <w:rsid w:val="00485E21"/>
    <w:rsid w:val="00486108"/>
    <w:rsid w:val="00486F83"/>
    <w:rsid w:val="00487A78"/>
    <w:rsid w:val="00487B56"/>
    <w:rsid w:val="00487D98"/>
    <w:rsid w:val="00491B43"/>
    <w:rsid w:val="00492762"/>
    <w:rsid w:val="00493111"/>
    <w:rsid w:val="00493690"/>
    <w:rsid w:val="00493C19"/>
    <w:rsid w:val="00493DD9"/>
    <w:rsid w:val="00493DF6"/>
    <w:rsid w:val="00494F11"/>
    <w:rsid w:val="0049521B"/>
    <w:rsid w:val="004957EB"/>
    <w:rsid w:val="004A055B"/>
    <w:rsid w:val="004A06FF"/>
    <w:rsid w:val="004A0D2F"/>
    <w:rsid w:val="004A15D7"/>
    <w:rsid w:val="004A2436"/>
    <w:rsid w:val="004A33BF"/>
    <w:rsid w:val="004A3A90"/>
    <w:rsid w:val="004A3F35"/>
    <w:rsid w:val="004A43BD"/>
    <w:rsid w:val="004A4C84"/>
    <w:rsid w:val="004A543B"/>
    <w:rsid w:val="004A5CD7"/>
    <w:rsid w:val="004A60EE"/>
    <w:rsid w:val="004A623D"/>
    <w:rsid w:val="004A6432"/>
    <w:rsid w:val="004A674E"/>
    <w:rsid w:val="004A6777"/>
    <w:rsid w:val="004B0005"/>
    <w:rsid w:val="004B0267"/>
    <w:rsid w:val="004B07D1"/>
    <w:rsid w:val="004B12BC"/>
    <w:rsid w:val="004B17FB"/>
    <w:rsid w:val="004B1ADA"/>
    <w:rsid w:val="004B1D22"/>
    <w:rsid w:val="004B250D"/>
    <w:rsid w:val="004B33DA"/>
    <w:rsid w:val="004B3CF5"/>
    <w:rsid w:val="004B3EE6"/>
    <w:rsid w:val="004B422A"/>
    <w:rsid w:val="004B4934"/>
    <w:rsid w:val="004B5451"/>
    <w:rsid w:val="004B5D25"/>
    <w:rsid w:val="004B62A8"/>
    <w:rsid w:val="004B650B"/>
    <w:rsid w:val="004B65B9"/>
    <w:rsid w:val="004B6779"/>
    <w:rsid w:val="004B6F29"/>
    <w:rsid w:val="004B6FE1"/>
    <w:rsid w:val="004B73DB"/>
    <w:rsid w:val="004B76C1"/>
    <w:rsid w:val="004C00BF"/>
    <w:rsid w:val="004C0348"/>
    <w:rsid w:val="004C1FCC"/>
    <w:rsid w:val="004C22F1"/>
    <w:rsid w:val="004C24B2"/>
    <w:rsid w:val="004C250E"/>
    <w:rsid w:val="004C2772"/>
    <w:rsid w:val="004C29B1"/>
    <w:rsid w:val="004C2B43"/>
    <w:rsid w:val="004C2E05"/>
    <w:rsid w:val="004C402C"/>
    <w:rsid w:val="004C4340"/>
    <w:rsid w:val="004C4548"/>
    <w:rsid w:val="004C4AD4"/>
    <w:rsid w:val="004C568E"/>
    <w:rsid w:val="004C56AB"/>
    <w:rsid w:val="004C5F2F"/>
    <w:rsid w:val="004C6850"/>
    <w:rsid w:val="004C68A1"/>
    <w:rsid w:val="004C6AE7"/>
    <w:rsid w:val="004C6C01"/>
    <w:rsid w:val="004C7755"/>
    <w:rsid w:val="004C7778"/>
    <w:rsid w:val="004C790B"/>
    <w:rsid w:val="004C7E14"/>
    <w:rsid w:val="004D0068"/>
    <w:rsid w:val="004D17D1"/>
    <w:rsid w:val="004D20C6"/>
    <w:rsid w:val="004D3A95"/>
    <w:rsid w:val="004D3BED"/>
    <w:rsid w:val="004D49D1"/>
    <w:rsid w:val="004D6028"/>
    <w:rsid w:val="004D6504"/>
    <w:rsid w:val="004D66E0"/>
    <w:rsid w:val="004D7A0A"/>
    <w:rsid w:val="004E1911"/>
    <w:rsid w:val="004E1A8D"/>
    <w:rsid w:val="004E36B5"/>
    <w:rsid w:val="004E4BCD"/>
    <w:rsid w:val="004E590E"/>
    <w:rsid w:val="004E5D94"/>
    <w:rsid w:val="004E6ECC"/>
    <w:rsid w:val="004E71CA"/>
    <w:rsid w:val="004E73D0"/>
    <w:rsid w:val="004E7D9D"/>
    <w:rsid w:val="004F07E9"/>
    <w:rsid w:val="004F0824"/>
    <w:rsid w:val="004F0D3E"/>
    <w:rsid w:val="004F0F63"/>
    <w:rsid w:val="004F167B"/>
    <w:rsid w:val="004F182A"/>
    <w:rsid w:val="004F19FF"/>
    <w:rsid w:val="004F274E"/>
    <w:rsid w:val="004F27EC"/>
    <w:rsid w:val="004F39DA"/>
    <w:rsid w:val="004F3EA2"/>
    <w:rsid w:val="004F4003"/>
    <w:rsid w:val="004F43D5"/>
    <w:rsid w:val="004F53D9"/>
    <w:rsid w:val="004F5E48"/>
    <w:rsid w:val="004F6E78"/>
    <w:rsid w:val="004F6F51"/>
    <w:rsid w:val="004F7176"/>
    <w:rsid w:val="004F7731"/>
    <w:rsid w:val="004F7A5D"/>
    <w:rsid w:val="004F7FDE"/>
    <w:rsid w:val="005001DB"/>
    <w:rsid w:val="005017C0"/>
    <w:rsid w:val="005025E0"/>
    <w:rsid w:val="005029E7"/>
    <w:rsid w:val="0050342D"/>
    <w:rsid w:val="00503773"/>
    <w:rsid w:val="00503DBA"/>
    <w:rsid w:val="00504CF7"/>
    <w:rsid w:val="00505A30"/>
    <w:rsid w:val="00505EB8"/>
    <w:rsid w:val="00506222"/>
    <w:rsid w:val="00506683"/>
    <w:rsid w:val="005075C0"/>
    <w:rsid w:val="005106C5"/>
    <w:rsid w:val="005109E7"/>
    <w:rsid w:val="0051269B"/>
    <w:rsid w:val="00513645"/>
    <w:rsid w:val="00513DFA"/>
    <w:rsid w:val="00515324"/>
    <w:rsid w:val="0051577E"/>
    <w:rsid w:val="00515901"/>
    <w:rsid w:val="005164D3"/>
    <w:rsid w:val="00516670"/>
    <w:rsid w:val="00516CCD"/>
    <w:rsid w:val="00517311"/>
    <w:rsid w:val="0051771B"/>
    <w:rsid w:val="0051773B"/>
    <w:rsid w:val="0052068B"/>
    <w:rsid w:val="0052099C"/>
    <w:rsid w:val="00520A51"/>
    <w:rsid w:val="00520C77"/>
    <w:rsid w:val="00521411"/>
    <w:rsid w:val="005214C1"/>
    <w:rsid w:val="005223EA"/>
    <w:rsid w:val="00522D7D"/>
    <w:rsid w:val="005232A0"/>
    <w:rsid w:val="005235C4"/>
    <w:rsid w:val="00523731"/>
    <w:rsid w:val="00523D77"/>
    <w:rsid w:val="0052459D"/>
    <w:rsid w:val="0052530F"/>
    <w:rsid w:val="0052669F"/>
    <w:rsid w:val="00526E75"/>
    <w:rsid w:val="005306C4"/>
    <w:rsid w:val="005310D4"/>
    <w:rsid w:val="00531278"/>
    <w:rsid w:val="005318DE"/>
    <w:rsid w:val="00531C3A"/>
    <w:rsid w:val="00531C8B"/>
    <w:rsid w:val="00532D4B"/>
    <w:rsid w:val="005339D7"/>
    <w:rsid w:val="0053403A"/>
    <w:rsid w:val="005341E5"/>
    <w:rsid w:val="005352F8"/>
    <w:rsid w:val="0053613A"/>
    <w:rsid w:val="0053614F"/>
    <w:rsid w:val="005362A5"/>
    <w:rsid w:val="005362D8"/>
    <w:rsid w:val="005362E6"/>
    <w:rsid w:val="005363D3"/>
    <w:rsid w:val="005366FF"/>
    <w:rsid w:val="005372B1"/>
    <w:rsid w:val="00540965"/>
    <w:rsid w:val="00540AA5"/>
    <w:rsid w:val="00541093"/>
    <w:rsid w:val="00541F62"/>
    <w:rsid w:val="005420DB"/>
    <w:rsid w:val="00542418"/>
    <w:rsid w:val="0054244A"/>
    <w:rsid w:val="00542ADD"/>
    <w:rsid w:val="00542B89"/>
    <w:rsid w:val="0054312B"/>
    <w:rsid w:val="00543782"/>
    <w:rsid w:val="005443A9"/>
    <w:rsid w:val="00544606"/>
    <w:rsid w:val="00544A94"/>
    <w:rsid w:val="0054568A"/>
    <w:rsid w:val="005459E7"/>
    <w:rsid w:val="00545B81"/>
    <w:rsid w:val="00545CAB"/>
    <w:rsid w:val="0054608F"/>
    <w:rsid w:val="005464C0"/>
    <w:rsid w:val="00547272"/>
    <w:rsid w:val="00547276"/>
    <w:rsid w:val="00551459"/>
    <w:rsid w:val="005527A1"/>
    <w:rsid w:val="005528E6"/>
    <w:rsid w:val="005529A6"/>
    <w:rsid w:val="00552D22"/>
    <w:rsid w:val="00553582"/>
    <w:rsid w:val="00554081"/>
    <w:rsid w:val="00554268"/>
    <w:rsid w:val="00554438"/>
    <w:rsid w:val="00554C88"/>
    <w:rsid w:val="00554D92"/>
    <w:rsid w:val="00555237"/>
    <w:rsid w:val="005553C1"/>
    <w:rsid w:val="00555847"/>
    <w:rsid w:val="005562C1"/>
    <w:rsid w:val="005576F9"/>
    <w:rsid w:val="00560485"/>
    <w:rsid w:val="00560764"/>
    <w:rsid w:val="00561A1A"/>
    <w:rsid w:val="00561F94"/>
    <w:rsid w:val="0056305C"/>
    <w:rsid w:val="00563644"/>
    <w:rsid w:val="00564126"/>
    <w:rsid w:val="00564B7A"/>
    <w:rsid w:val="00564FFC"/>
    <w:rsid w:val="0056581B"/>
    <w:rsid w:val="00566192"/>
    <w:rsid w:val="00566533"/>
    <w:rsid w:val="0056670E"/>
    <w:rsid w:val="005669CA"/>
    <w:rsid w:val="005675A7"/>
    <w:rsid w:val="00570548"/>
    <w:rsid w:val="0057062A"/>
    <w:rsid w:val="00570644"/>
    <w:rsid w:val="0057075B"/>
    <w:rsid w:val="00571142"/>
    <w:rsid w:val="00571188"/>
    <w:rsid w:val="00571A44"/>
    <w:rsid w:val="00571AF4"/>
    <w:rsid w:val="00571C0E"/>
    <w:rsid w:val="005728BB"/>
    <w:rsid w:val="00573389"/>
    <w:rsid w:val="00573850"/>
    <w:rsid w:val="00574376"/>
    <w:rsid w:val="005748BF"/>
    <w:rsid w:val="00575207"/>
    <w:rsid w:val="00575F72"/>
    <w:rsid w:val="005763D3"/>
    <w:rsid w:val="005769B5"/>
    <w:rsid w:val="00576FE5"/>
    <w:rsid w:val="0057742E"/>
    <w:rsid w:val="005774AF"/>
    <w:rsid w:val="00577880"/>
    <w:rsid w:val="00577E11"/>
    <w:rsid w:val="00580AE9"/>
    <w:rsid w:val="00580E48"/>
    <w:rsid w:val="00581592"/>
    <w:rsid w:val="00582371"/>
    <w:rsid w:val="00582897"/>
    <w:rsid w:val="005828FE"/>
    <w:rsid w:val="00582C68"/>
    <w:rsid w:val="0058386A"/>
    <w:rsid w:val="00583BC6"/>
    <w:rsid w:val="00583E5E"/>
    <w:rsid w:val="0058456F"/>
    <w:rsid w:val="00585016"/>
    <w:rsid w:val="00585241"/>
    <w:rsid w:val="00585339"/>
    <w:rsid w:val="0058595D"/>
    <w:rsid w:val="00586162"/>
    <w:rsid w:val="00586E6B"/>
    <w:rsid w:val="00587A37"/>
    <w:rsid w:val="0059069F"/>
    <w:rsid w:val="0059093D"/>
    <w:rsid w:val="00591805"/>
    <w:rsid w:val="00591A9F"/>
    <w:rsid w:val="005924A0"/>
    <w:rsid w:val="00592A75"/>
    <w:rsid w:val="005940E3"/>
    <w:rsid w:val="0059448F"/>
    <w:rsid w:val="00595E06"/>
    <w:rsid w:val="005961C3"/>
    <w:rsid w:val="005963D8"/>
    <w:rsid w:val="0059650A"/>
    <w:rsid w:val="00596CC7"/>
    <w:rsid w:val="00596D52"/>
    <w:rsid w:val="00597C41"/>
    <w:rsid w:val="005A219F"/>
    <w:rsid w:val="005A2291"/>
    <w:rsid w:val="005A22CD"/>
    <w:rsid w:val="005A298D"/>
    <w:rsid w:val="005A47A3"/>
    <w:rsid w:val="005A4D7A"/>
    <w:rsid w:val="005A539B"/>
    <w:rsid w:val="005A55CA"/>
    <w:rsid w:val="005A5DC8"/>
    <w:rsid w:val="005A5E3B"/>
    <w:rsid w:val="005A6781"/>
    <w:rsid w:val="005A6B9F"/>
    <w:rsid w:val="005A6C54"/>
    <w:rsid w:val="005A6EA3"/>
    <w:rsid w:val="005A780C"/>
    <w:rsid w:val="005A7DD7"/>
    <w:rsid w:val="005B0BD1"/>
    <w:rsid w:val="005B12AA"/>
    <w:rsid w:val="005B192C"/>
    <w:rsid w:val="005B29C4"/>
    <w:rsid w:val="005B2AE0"/>
    <w:rsid w:val="005B33D5"/>
    <w:rsid w:val="005B36A3"/>
    <w:rsid w:val="005B37B8"/>
    <w:rsid w:val="005B3993"/>
    <w:rsid w:val="005B411A"/>
    <w:rsid w:val="005B52D0"/>
    <w:rsid w:val="005B5778"/>
    <w:rsid w:val="005B58ED"/>
    <w:rsid w:val="005B5A6C"/>
    <w:rsid w:val="005B6101"/>
    <w:rsid w:val="005B6580"/>
    <w:rsid w:val="005B6899"/>
    <w:rsid w:val="005B69D0"/>
    <w:rsid w:val="005B755F"/>
    <w:rsid w:val="005B7B39"/>
    <w:rsid w:val="005B7CBA"/>
    <w:rsid w:val="005C07D3"/>
    <w:rsid w:val="005C0979"/>
    <w:rsid w:val="005C0E54"/>
    <w:rsid w:val="005C13E2"/>
    <w:rsid w:val="005C1B4F"/>
    <w:rsid w:val="005C20B0"/>
    <w:rsid w:val="005C2526"/>
    <w:rsid w:val="005C277D"/>
    <w:rsid w:val="005C4C96"/>
    <w:rsid w:val="005C56F9"/>
    <w:rsid w:val="005C5FC4"/>
    <w:rsid w:val="005C6E23"/>
    <w:rsid w:val="005D06CE"/>
    <w:rsid w:val="005D08B7"/>
    <w:rsid w:val="005D0C6B"/>
    <w:rsid w:val="005D0F6B"/>
    <w:rsid w:val="005D117D"/>
    <w:rsid w:val="005D2F1B"/>
    <w:rsid w:val="005D362C"/>
    <w:rsid w:val="005D45A7"/>
    <w:rsid w:val="005D4EFA"/>
    <w:rsid w:val="005D59CB"/>
    <w:rsid w:val="005D5C56"/>
    <w:rsid w:val="005D6020"/>
    <w:rsid w:val="005D60E0"/>
    <w:rsid w:val="005D6340"/>
    <w:rsid w:val="005D6D14"/>
    <w:rsid w:val="005D6DEF"/>
    <w:rsid w:val="005D6F43"/>
    <w:rsid w:val="005D776A"/>
    <w:rsid w:val="005E0900"/>
    <w:rsid w:val="005E23F8"/>
    <w:rsid w:val="005E266D"/>
    <w:rsid w:val="005E273E"/>
    <w:rsid w:val="005E4180"/>
    <w:rsid w:val="005E544D"/>
    <w:rsid w:val="005E5B82"/>
    <w:rsid w:val="005E687E"/>
    <w:rsid w:val="005E6886"/>
    <w:rsid w:val="005E6D5F"/>
    <w:rsid w:val="005E6E49"/>
    <w:rsid w:val="005E6F8C"/>
    <w:rsid w:val="005F0137"/>
    <w:rsid w:val="005F043C"/>
    <w:rsid w:val="005F095C"/>
    <w:rsid w:val="005F1107"/>
    <w:rsid w:val="005F1495"/>
    <w:rsid w:val="005F1D0C"/>
    <w:rsid w:val="005F2182"/>
    <w:rsid w:val="005F25E9"/>
    <w:rsid w:val="005F358E"/>
    <w:rsid w:val="005F3697"/>
    <w:rsid w:val="005F39BB"/>
    <w:rsid w:val="005F4279"/>
    <w:rsid w:val="005F56A9"/>
    <w:rsid w:val="005F585E"/>
    <w:rsid w:val="005F5D02"/>
    <w:rsid w:val="005F6503"/>
    <w:rsid w:val="005F6CD9"/>
    <w:rsid w:val="005F7C28"/>
    <w:rsid w:val="0060106E"/>
    <w:rsid w:val="00601509"/>
    <w:rsid w:val="006018FD"/>
    <w:rsid w:val="00601DBA"/>
    <w:rsid w:val="00601F83"/>
    <w:rsid w:val="00603415"/>
    <w:rsid w:val="006034DD"/>
    <w:rsid w:val="00603558"/>
    <w:rsid w:val="006035A2"/>
    <w:rsid w:val="0060441B"/>
    <w:rsid w:val="006061ED"/>
    <w:rsid w:val="00606738"/>
    <w:rsid w:val="00606A8D"/>
    <w:rsid w:val="00606F42"/>
    <w:rsid w:val="006077D3"/>
    <w:rsid w:val="00607CA4"/>
    <w:rsid w:val="00610157"/>
    <w:rsid w:val="00610385"/>
    <w:rsid w:val="006106D0"/>
    <w:rsid w:val="00610C10"/>
    <w:rsid w:val="006111B8"/>
    <w:rsid w:val="00611C28"/>
    <w:rsid w:val="00611E84"/>
    <w:rsid w:val="0061297C"/>
    <w:rsid w:val="00612D71"/>
    <w:rsid w:val="00613ADD"/>
    <w:rsid w:val="00613F0E"/>
    <w:rsid w:val="00614094"/>
    <w:rsid w:val="00614527"/>
    <w:rsid w:val="00615570"/>
    <w:rsid w:val="00615C18"/>
    <w:rsid w:val="00615E06"/>
    <w:rsid w:val="006160DC"/>
    <w:rsid w:val="00616709"/>
    <w:rsid w:val="00617BE8"/>
    <w:rsid w:val="00617D2E"/>
    <w:rsid w:val="00620C24"/>
    <w:rsid w:val="00620E15"/>
    <w:rsid w:val="0062210C"/>
    <w:rsid w:val="0062222B"/>
    <w:rsid w:val="00622EA9"/>
    <w:rsid w:val="006236A0"/>
    <w:rsid w:val="00623B40"/>
    <w:rsid w:val="006246D1"/>
    <w:rsid w:val="00624A94"/>
    <w:rsid w:val="00624B18"/>
    <w:rsid w:val="00624C35"/>
    <w:rsid w:val="0062520C"/>
    <w:rsid w:val="0062544A"/>
    <w:rsid w:val="00625780"/>
    <w:rsid w:val="00625D18"/>
    <w:rsid w:val="00625FC2"/>
    <w:rsid w:val="00626E48"/>
    <w:rsid w:val="006273F4"/>
    <w:rsid w:val="006279B9"/>
    <w:rsid w:val="00627D80"/>
    <w:rsid w:val="00630CE6"/>
    <w:rsid w:val="00630D24"/>
    <w:rsid w:val="00631545"/>
    <w:rsid w:val="00632129"/>
    <w:rsid w:val="006323E3"/>
    <w:rsid w:val="00632A4B"/>
    <w:rsid w:val="00632AE3"/>
    <w:rsid w:val="00632BA1"/>
    <w:rsid w:val="006333EC"/>
    <w:rsid w:val="00634A1A"/>
    <w:rsid w:val="00634B57"/>
    <w:rsid w:val="00635323"/>
    <w:rsid w:val="00635BBD"/>
    <w:rsid w:val="00635D91"/>
    <w:rsid w:val="006370A7"/>
    <w:rsid w:val="006371FA"/>
    <w:rsid w:val="00637A02"/>
    <w:rsid w:val="00640D3B"/>
    <w:rsid w:val="0064142A"/>
    <w:rsid w:val="00641B71"/>
    <w:rsid w:val="00641D53"/>
    <w:rsid w:val="0064244C"/>
    <w:rsid w:val="0064264D"/>
    <w:rsid w:val="00642FFF"/>
    <w:rsid w:val="006432B8"/>
    <w:rsid w:val="00643FD1"/>
    <w:rsid w:val="006444FF"/>
    <w:rsid w:val="0064465C"/>
    <w:rsid w:val="00646055"/>
    <w:rsid w:val="00646A49"/>
    <w:rsid w:val="00647A8F"/>
    <w:rsid w:val="00647BB5"/>
    <w:rsid w:val="00650262"/>
    <w:rsid w:val="00650827"/>
    <w:rsid w:val="00650899"/>
    <w:rsid w:val="00651586"/>
    <w:rsid w:val="00653295"/>
    <w:rsid w:val="00653846"/>
    <w:rsid w:val="00653870"/>
    <w:rsid w:val="0065395F"/>
    <w:rsid w:val="00653FE5"/>
    <w:rsid w:val="00654BE8"/>
    <w:rsid w:val="006559FE"/>
    <w:rsid w:val="006560AB"/>
    <w:rsid w:val="00656BCE"/>
    <w:rsid w:val="00656D2F"/>
    <w:rsid w:val="00657109"/>
    <w:rsid w:val="00657FD7"/>
    <w:rsid w:val="00661638"/>
    <w:rsid w:val="00661FDE"/>
    <w:rsid w:val="006630AA"/>
    <w:rsid w:val="00663449"/>
    <w:rsid w:val="0066348A"/>
    <w:rsid w:val="00663907"/>
    <w:rsid w:val="00663B1A"/>
    <w:rsid w:val="00663C08"/>
    <w:rsid w:val="00663F70"/>
    <w:rsid w:val="006644EC"/>
    <w:rsid w:val="00664D61"/>
    <w:rsid w:val="00666313"/>
    <w:rsid w:val="006665C3"/>
    <w:rsid w:val="00666ED5"/>
    <w:rsid w:val="0066751C"/>
    <w:rsid w:val="00667632"/>
    <w:rsid w:val="006677E1"/>
    <w:rsid w:val="0066793B"/>
    <w:rsid w:val="00667BBA"/>
    <w:rsid w:val="006708FB"/>
    <w:rsid w:val="00670CEE"/>
    <w:rsid w:val="00670DFA"/>
    <w:rsid w:val="0067161E"/>
    <w:rsid w:val="00671898"/>
    <w:rsid w:val="00671C63"/>
    <w:rsid w:val="00671D95"/>
    <w:rsid w:val="00671DEF"/>
    <w:rsid w:val="00672073"/>
    <w:rsid w:val="00672367"/>
    <w:rsid w:val="00672950"/>
    <w:rsid w:val="00672B55"/>
    <w:rsid w:val="00672E37"/>
    <w:rsid w:val="00672FB2"/>
    <w:rsid w:val="006734D2"/>
    <w:rsid w:val="00673834"/>
    <w:rsid w:val="0067387C"/>
    <w:rsid w:val="00673E35"/>
    <w:rsid w:val="006741BA"/>
    <w:rsid w:val="00674808"/>
    <w:rsid w:val="00676222"/>
    <w:rsid w:val="006766A8"/>
    <w:rsid w:val="006767AF"/>
    <w:rsid w:val="00676A58"/>
    <w:rsid w:val="00676FEF"/>
    <w:rsid w:val="00677D3B"/>
    <w:rsid w:val="00677DAC"/>
    <w:rsid w:val="006803ED"/>
    <w:rsid w:val="006804DC"/>
    <w:rsid w:val="006806C4"/>
    <w:rsid w:val="00681819"/>
    <w:rsid w:val="00681FF0"/>
    <w:rsid w:val="00682376"/>
    <w:rsid w:val="00683258"/>
    <w:rsid w:val="0068337A"/>
    <w:rsid w:val="00683B36"/>
    <w:rsid w:val="00684650"/>
    <w:rsid w:val="006849B7"/>
    <w:rsid w:val="00685E8C"/>
    <w:rsid w:val="00686362"/>
    <w:rsid w:val="00686A1A"/>
    <w:rsid w:val="006871BF"/>
    <w:rsid w:val="006872F8"/>
    <w:rsid w:val="00687D01"/>
    <w:rsid w:val="0069007A"/>
    <w:rsid w:val="006903EE"/>
    <w:rsid w:val="00691341"/>
    <w:rsid w:val="006914DA"/>
    <w:rsid w:val="006914E4"/>
    <w:rsid w:val="006916DA"/>
    <w:rsid w:val="0069176A"/>
    <w:rsid w:val="0069181C"/>
    <w:rsid w:val="00691B9E"/>
    <w:rsid w:val="00691EF7"/>
    <w:rsid w:val="0069214E"/>
    <w:rsid w:val="006926EE"/>
    <w:rsid w:val="00692DA8"/>
    <w:rsid w:val="006938E6"/>
    <w:rsid w:val="006939BB"/>
    <w:rsid w:val="006940DF"/>
    <w:rsid w:val="006955F3"/>
    <w:rsid w:val="00695992"/>
    <w:rsid w:val="006961CA"/>
    <w:rsid w:val="00696C94"/>
    <w:rsid w:val="00696E81"/>
    <w:rsid w:val="0069723D"/>
    <w:rsid w:val="00697319"/>
    <w:rsid w:val="006974D5"/>
    <w:rsid w:val="0069770D"/>
    <w:rsid w:val="00697774"/>
    <w:rsid w:val="00697B2A"/>
    <w:rsid w:val="00697C4F"/>
    <w:rsid w:val="00697DBB"/>
    <w:rsid w:val="006A0D80"/>
    <w:rsid w:val="006A0E0E"/>
    <w:rsid w:val="006A1EDE"/>
    <w:rsid w:val="006A27DC"/>
    <w:rsid w:val="006A3321"/>
    <w:rsid w:val="006A3A82"/>
    <w:rsid w:val="006A405F"/>
    <w:rsid w:val="006A447D"/>
    <w:rsid w:val="006A4B17"/>
    <w:rsid w:val="006A5300"/>
    <w:rsid w:val="006A5336"/>
    <w:rsid w:val="006A541B"/>
    <w:rsid w:val="006A65D2"/>
    <w:rsid w:val="006A6817"/>
    <w:rsid w:val="006A784C"/>
    <w:rsid w:val="006A7E0C"/>
    <w:rsid w:val="006B0701"/>
    <w:rsid w:val="006B0935"/>
    <w:rsid w:val="006B0C8C"/>
    <w:rsid w:val="006B1F4D"/>
    <w:rsid w:val="006B2341"/>
    <w:rsid w:val="006B2C3B"/>
    <w:rsid w:val="006B350A"/>
    <w:rsid w:val="006B35B8"/>
    <w:rsid w:val="006B3B1C"/>
    <w:rsid w:val="006B490C"/>
    <w:rsid w:val="006B4F13"/>
    <w:rsid w:val="006B5623"/>
    <w:rsid w:val="006B5826"/>
    <w:rsid w:val="006B5B0D"/>
    <w:rsid w:val="006B5BF8"/>
    <w:rsid w:val="006B5F6B"/>
    <w:rsid w:val="006B6973"/>
    <w:rsid w:val="006B740D"/>
    <w:rsid w:val="006B7CC7"/>
    <w:rsid w:val="006B7EE3"/>
    <w:rsid w:val="006B7F23"/>
    <w:rsid w:val="006C0956"/>
    <w:rsid w:val="006C0A25"/>
    <w:rsid w:val="006C10D6"/>
    <w:rsid w:val="006C16AA"/>
    <w:rsid w:val="006C17D4"/>
    <w:rsid w:val="006C1FB7"/>
    <w:rsid w:val="006C34FD"/>
    <w:rsid w:val="006C39B5"/>
    <w:rsid w:val="006C4524"/>
    <w:rsid w:val="006C52BF"/>
    <w:rsid w:val="006C5678"/>
    <w:rsid w:val="006C5B1C"/>
    <w:rsid w:val="006C5CBF"/>
    <w:rsid w:val="006C5EC6"/>
    <w:rsid w:val="006C61DB"/>
    <w:rsid w:val="006C6C05"/>
    <w:rsid w:val="006C7116"/>
    <w:rsid w:val="006C7E98"/>
    <w:rsid w:val="006D0242"/>
    <w:rsid w:val="006D0EE0"/>
    <w:rsid w:val="006D178C"/>
    <w:rsid w:val="006D1951"/>
    <w:rsid w:val="006D1E1E"/>
    <w:rsid w:val="006D2205"/>
    <w:rsid w:val="006D2353"/>
    <w:rsid w:val="006D532E"/>
    <w:rsid w:val="006D57B7"/>
    <w:rsid w:val="006D6719"/>
    <w:rsid w:val="006D6824"/>
    <w:rsid w:val="006D68E0"/>
    <w:rsid w:val="006D6BB8"/>
    <w:rsid w:val="006D70A9"/>
    <w:rsid w:val="006D7845"/>
    <w:rsid w:val="006E00D4"/>
    <w:rsid w:val="006E047F"/>
    <w:rsid w:val="006E1238"/>
    <w:rsid w:val="006E2BA1"/>
    <w:rsid w:val="006E2FC6"/>
    <w:rsid w:val="006E3D05"/>
    <w:rsid w:val="006E3DA1"/>
    <w:rsid w:val="006E3FEE"/>
    <w:rsid w:val="006E404C"/>
    <w:rsid w:val="006E520C"/>
    <w:rsid w:val="006E5C4F"/>
    <w:rsid w:val="006E6624"/>
    <w:rsid w:val="006E67B4"/>
    <w:rsid w:val="006E6D6A"/>
    <w:rsid w:val="006E7CF9"/>
    <w:rsid w:val="006F00D1"/>
    <w:rsid w:val="006F05C0"/>
    <w:rsid w:val="006F0808"/>
    <w:rsid w:val="006F15B9"/>
    <w:rsid w:val="006F1CBF"/>
    <w:rsid w:val="006F20A6"/>
    <w:rsid w:val="006F23A5"/>
    <w:rsid w:val="006F248D"/>
    <w:rsid w:val="006F3FEB"/>
    <w:rsid w:val="006F4229"/>
    <w:rsid w:val="006F428D"/>
    <w:rsid w:val="006F47E1"/>
    <w:rsid w:val="006F5051"/>
    <w:rsid w:val="006F60F3"/>
    <w:rsid w:val="006F6B30"/>
    <w:rsid w:val="006F6F6D"/>
    <w:rsid w:val="006F7D06"/>
    <w:rsid w:val="006F7E77"/>
    <w:rsid w:val="007006FC"/>
    <w:rsid w:val="0070092D"/>
    <w:rsid w:val="007009DE"/>
    <w:rsid w:val="00700D16"/>
    <w:rsid w:val="00700E6B"/>
    <w:rsid w:val="007014A1"/>
    <w:rsid w:val="00701E7F"/>
    <w:rsid w:val="00702338"/>
    <w:rsid w:val="0070259A"/>
    <w:rsid w:val="007031B5"/>
    <w:rsid w:val="007033D9"/>
    <w:rsid w:val="00703871"/>
    <w:rsid w:val="00703C6B"/>
    <w:rsid w:val="00704223"/>
    <w:rsid w:val="00704694"/>
    <w:rsid w:val="00704CDC"/>
    <w:rsid w:val="00704D41"/>
    <w:rsid w:val="0070501E"/>
    <w:rsid w:val="00705211"/>
    <w:rsid w:val="00706120"/>
    <w:rsid w:val="0070688D"/>
    <w:rsid w:val="00706E8D"/>
    <w:rsid w:val="00706ED2"/>
    <w:rsid w:val="00707DA1"/>
    <w:rsid w:val="00710804"/>
    <w:rsid w:val="00711124"/>
    <w:rsid w:val="00711290"/>
    <w:rsid w:val="00712315"/>
    <w:rsid w:val="007123A0"/>
    <w:rsid w:val="00713FF5"/>
    <w:rsid w:val="007146C4"/>
    <w:rsid w:val="00715101"/>
    <w:rsid w:val="0071516B"/>
    <w:rsid w:val="00715A09"/>
    <w:rsid w:val="00715C21"/>
    <w:rsid w:val="00716472"/>
    <w:rsid w:val="00716498"/>
    <w:rsid w:val="00716872"/>
    <w:rsid w:val="00716913"/>
    <w:rsid w:val="00716FF0"/>
    <w:rsid w:val="00717B03"/>
    <w:rsid w:val="00720133"/>
    <w:rsid w:val="0072024C"/>
    <w:rsid w:val="0072060A"/>
    <w:rsid w:val="007209F1"/>
    <w:rsid w:val="00720CF1"/>
    <w:rsid w:val="00722A9B"/>
    <w:rsid w:val="00722C26"/>
    <w:rsid w:val="00722C7C"/>
    <w:rsid w:val="00722E36"/>
    <w:rsid w:val="00723F98"/>
    <w:rsid w:val="00724D56"/>
    <w:rsid w:val="00724D5A"/>
    <w:rsid w:val="00724D5E"/>
    <w:rsid w:val="00725945"/>
    <w:rsid w:val="00725AD0"/>
    <w:rsid w:val="00725AD5"/>
    <w:rsid w:val="00725AE4"/>
    <w:rsid w:val="0072611D"/>
    <w:rsid w:val="007267AB"/>
    <w:rsid w:val="00726DC1"/>
    <w:rsid w:val="00727174"/>
    <w:rsid w:val="00727AEC"/>
    <w:rsid w:val="007306BF"/>
    <w:rsid w:val="00730766"/>
    <w:rsid w:val="00731395"/>
    <w:rsid w:val="007315B8"/>
    <w:rsid w:val="007321B9"/>
    <w:rsid w:val="00732F08"/>
    <w:rsid w:val="00733A4E"/>
    <w:rsid w:val="00733BBD"/>
    <w:rsid w:val="00733E28"/>
    <w:rsid w:val="00734691"/>
    <w:rsid w:val="00734D15"/>
    <w:rsid w:val="0073607B"/>
    <w:rsid w:val="007362D6"/>
    <w:rsid w:val="00736A12"/>
    <w:rsid w:val="0073705D"/>
    <w:rsid w:val="007372AF"/>
    <w:rsid w:val="007376DF"/>
    <w:rsid w:val="007404E7"/>
    <w:rsid w:val="007417DA"/>
    <w:rsid w:val="007420F0"/>
    <w:rsid w:val="0074228F"/>
    <w:rsid w:val="00742649"/>
    <w:rsid w:val="0074272A"/>
    <w:rsid w:val="007436D0"/>
    <w:rsid w:val="00743B27"/>
    <w:rsid w:val="00743B99"/>
    <w:rsid w:val="007447F0"/>
    <w:rsid w:val="00744FD6"/>
    <w:rsid w:val="00745759"/>
    <w:rsid w:val="00745F82"/>
    <w:rsid w:val="007468F3"/>
    <w:rsid w:val="007468F6"/>
    <w:rsid w:val="00747EAE"/>
    <w:rsid w:val="00750CBB"/>
    <w:rsid w:val="00750E93"/>
    <w:rsid w:val="0075171D"/>
    <w:rsid w:val="007520C5"/>
    <w:rsid w:val="00752917"/>
    <w:rsid w:val="0075311F"/>
    <w:rsid w:val="007535CD"/>
    <w:rsid w:val="00753989"/>
    <w:rsid w:val="00753C09"/>
    <w:rsid w:val="0075455D"/>
    <w:rsid w:val="00754885"/>
    <w:rsid w:val="00754FEC"/>
    <w:rsid w:val="007556E6"/>
    <w:rsid w:val="0075594B"/>
    <w:rsid w:val="00755B99"/>
    <w:rsid w:val="00755EAB"/>
    <w:rsid w:val="0075671A"/>
    <w:rsid w:val="00756BD0"/>
    <w:rsid w:val="00756E3E"/>
    <w:rsid w:val="00757DC0"/>
    <w:rsid w:val="007600F0"/>
    <w:rsid w:val="00760213"/>
    <w:rsid w:val="00760D33"/>
    <w:rsid w:val="00761191"/>
    <w:rsid w:val="00761B17"/>
    <w:rsid w:val="00761B7E"/>
    <w:rsid w:val="00762199"/>
    <w:rsid w:val="00762475"/>
    <w:rsid w:val="00762576"/>
    <w:rsid w:val="00762E7B"/>
    <w:rsid w:val="00763794"/>
    <w:rsid w:val="00763B38"/>
    <w:rsid w:val="0076419C"/>
    <w:rsid w:val="007645D9"/>
    <w:rsid w:val="0076512F"/>
    <w:rsid w:val="0076554E"/>
    <w:rsid w:val="00765801"/>
    <w:rsid w:val="007659DB"/>
    <w:rsid w:val="00765BE7"/>
    <w:rsid w:val="0076688A"/>
    <w:rsid w:val="00766C5D"/>
    <w:rsid w:val="00767F59"/>
    <w:rsid w:val="0077087B"/>
    <w:rsid w:val="007709F1"/>
    <w:rsid w:val="00770DE0"/>
    <w:rsid w:val="007715F4"/>
    <w:rsid w:val="00771BA7"/>
    <w:rsid w:val="00771EC0"/>
    <w:rsid w:val="00771FEA"/>
    <w:rsid w:val="007723B6"/>
    <w:rsid w:val="007729A9"/>
    <w:rsid w:val="00772C9E"/>
    <w:rsid w:val="007730A1"/>
    <w:rsid w:val="007735C9"/>
    <w:rsid w:val="00773E06"/>
    <w:rsid w:val="00774B38"/>
    <w:rsid w:val="00774CC7"/>
    <w:rsid w:val="00775117"/>
    <w:rsid w:val="0077630C"/>
    <w:rsid w:val="00776831"/>
    <w:rsid w:val="007769D6"/>
    <w:rsid w:val="00780458"/>
    <w:rsid w:val="00781B1A"/>
    <w:rsid w:val="007824DA"/>
    <w:rsid w:val="00782B0E"/>
    <w:rsid w:val="00783C15"/>
    <w:rsid w:val="00784523"/>
    <w:rsid w:val="0078457D"/>
    <w:rsid w:val="00785211"/>
    <w:rsid w:val="007855F5"/>
    <w:rsid w:val="007867F8"/>
    <w:rsid w:val="00787243"/>
    <w:rsid w:val="007877F2"/>
    <w:rsid w:val="0079023A"/>
    <w:rsid w:val="0079031A"/>
    <w:rsid w:val="0079033A"/>
    <w:rsid w:val="00790793"/>
    <w:rsid w:val="00790D92"/>
    <w:rsid w:val="00791332"/>
    <w:rsid w:val="0079184B"/>
    <w:rsid w:val="0079199F"/>
    <w:rsid w:val="0079257A"/>
    <w:rsid w:val="007928CF"/>
    <w:rsid w:val="00792CD7"/>
    <w:rsid w:val="00792EBB"/>
    <w:rsid w:val="00794540"/>
    <w:rsid w:val="007949CB"/>
    <w:rsid w:val="0079543B"/>
    <w:rsid w:val="007958E8"/>
    <w:rsid w:val="007A03FB"/>
    <w:rsid w:val="007A087B"/>
    <w:rsid w:val="007A0C07"/>
    <w:rsid w:val="007A1159"/>
    <w:rsid w:val="007A12D1"/>
    <w:rsid w:val="007A17EE"/>
    <w:rsid w:val="007A1E75"/>
    <w:rsid w:val="007A1FDE"/>
    <w:rsid w:val="007A2192"/>
    <w:rsid w:val="007A2EC9"/>
    <w:rsid w:val="007A3A8C"/>
    <w:rsid w:val="007A3B3D"/>
    <w:rsid w:val="007A3CC4"/>
    <w:rsid w:val="007A4235"/>
    <w:rsid w:val="007A450F"/>
    <w:rsid w:val="007A4521"/>
    <w:rsid w:val="007A543A"/>
    <w:rsid w:val="007A61CC"/>
    <w:rsid w:val="007A733F"/>
    <w:rsid w:val="007A763F"/>
    <w:rsid w:val="007A7727"/>
    <w:rsid w:val="007A77A3"/>
    <w:rsid w:val="007B0051"/>
    <w:rsid w:val="007B0615"/>
    <w:rsid w:val="007B087A"/>
    <w:rsid w:val="007B1C5A"/>
    <w:rsid w:val="007B1FB3"/>
    <w:rsid w:val="007B20D5"/>
    <w:rsid w:val="007B24C2"/>
    <w:rsid w:val="007B28B2"/>
    <w:rsid w:val="007B2B2C"/>
    <w:rsid w:val="007B2FC6"/>
    <w:rsid w:val="007B3489"/>
    <w:rsid w:val="007B39A4"/>
    <w:rsid w:val="007B3BD4"/>
    <w:rsid w:val="007B4092"/>
    <w:rsid w:val="007B40B2"/>
    <w:rsid w:val="007B5002"/>
    <w:rsid w:val="007B5652"/>
    <w:rsid w:val="007B5761"/>
    <w:rsid w:val="007B59DF"/>
    <w:rsid w:val="007B64A2"/>
    <w:rsid w:val="007B6518"/>
    <w:rsid w:val="007B663C"/>
    <w:rsid w:val="007B7475"/>
    <w:rsid w:val="007B78A4"/>
    <w:rsid w:val="007B7DD6"/>
    <w:rsid w:val="007C1027"/>
    <w:rsid w:val="007C10F8"/>
    <w:rsid w:val="007C1733"/>
    <w:rsid w:val="007C28B6"/>
    <w:rsid w:val="007C2B58"/>
    <w:rsid w:val="007C2FC8"/>
    <w:rsid w:val="007C31AC"/>
    <w:rsid w:val="007C333E"/>
    <w:rsid w:val="007C37F6"/>
    <w:rsid w:val="007C3E07"/>
    <w:rsid w:val="007C5007"/>
    <w:rsid w:val="007C51E3"/>
    <w:rsid w:val="007C5F6C"/>
    <w:rsid w:val="007C620C"/>
    <w:rsid w:val="007C6218"/>
    <w:rsid w:val="007C6F50"/>
    <w:rsid w:val="007C7296"/>
    <w:rsid w:val="007C75E9"/>
    <w:rsid w:val="007C7A15"/>
    <w:rsid w:val="007D05DE"/>
    <w:rsid w:val="007D0660"/>
    <w:rsid w:val="007D0675"/>
    <w:rsid w:val="007D0B06"/>
    <w:rsid w:val="007D0BDB"/>
    <w:rsid w:val="007D0D0C"/>
    <w:rsid w:val="007D1297"/>
    <w:rsid w:val="007D174D"/>
    <w:rsid w:val="007D1770"/>
    <w:rsid w:val="007D3CB3"/>
    <w:rsid w:val="007D4468"/>
    <w:rsid w:val="007D5178"/>
    <w:rsid w:val="007D53C0"/>
    <w:rsid w:val="007D5BFA"/>
    <w:rsid w:val="007D6494"/>
    <w:rsid w:val="007D65B4"/>
    <w:rsid w:val="007D6AC3"/>
    <w:rsid w:val="007D6E8B"/>
    <w:rsid w:val="007D76D0"/>
    <w:rsid w:val="007D7AE0"/>
    <w:rsid w:val="007D7CBC"/>
    <w:rsid w:val="007E03ED"/>
    <w:rsid w:val="007E0AAD"/>
    <w:rsid w:val="007E0C4A"/>
    <w:rsid w:val="007E0FDC"/>
    <w:rsid w:val="007E1306"/>
    <w:rsid w:val="007E1431"/>
    <w:rsid w:val="007E1562"/>
    <w:rsid w:val="007E1D72"/>
    <w:rsid w:val="007E1FB4"/>
    <w:rsid w:val="007E235B"/>
    <w:rsid w:val="007E42C8"/>
    <w:rsid w:val="007E49C2"/>
    <w:rsid w:val="007E58D9"/>
    <w:rsid w:val="007E5D82"/>
    <w:rsid w:val="007E5EB0"/>
    <w:rsid w:val="007E6836"/>
    <w:rsid w:val="007E6910"/>
    <w:rsid w:val="007E6A86"/>
    <w:rsid w:val="007E6C15"/>
    <w:rsid w:val="007E70A7"/>
    <w:rsid w:val="007F006C"/>
    <w:rsid w:val="007F078B"/>
    <w:rsid w:val="007F0FCA"/>
    <w:rsid w:val="007F1D49"/>
    <w:rsid w:val="007F2FAF"/>
    <w:rsid w:val="007F3CBE"/>
    <w:rsid w:val="007F46B6"/>
    <w:rsid w:val="007F4E25"/>
    <w:rsid w:val="007F50B6"/>
    <w:rsid w:val="007F6139"/>
    <w:rsid w:val="007F7022"/>
    <w:rsid w:val="007F702C"/>
    <w:rsid w:val="007F7C71"/>
    <w:rsid w:val="007F7CBF"/>
    <w:rsid w:val="007F7D42"/>
    <w:rsid w:val="007F7F02"/>
    <w:rsid w:val="0080030E"/>
    <w:rsid w:val="008009CF"/>
    <w:rsid w:val="008015B9"/>
    <w:rsid w:val="008017E1"/>
    <w:rsid w:val="00801D68"/>
    <w:rsid w:val="00802034"/>
    <w:rsid w:val="0080254B"/>
    <w:rsid w:val="008025F6"/>
    <w:rsid w:val="00802816"/>
    <w:rsid w:val="00803207"/>
    <w:rsid w:val="00804364"/>
    <w:rsid w:val="00805D2C"/>
    <w:rsid w:val="00805E72"/>
    <w:rsid w:val="008062F1"/>
    <w:rsid w:val="008064ED"/>
    <w:rsid w:val="00806BF4"/>
    <w:rsid w:val="00806EC6"/>
    <w:rsid w:val="00807386"/>
    <w:rsid w:val="00807E12"/>
    <w:rsid w:val="00810189"/>
    <w:rsid w:val="008103F3"/>
    <w:rsid w:val="00810573"/>
    <w:rsid w:val="00810827"/>
    <w:rsid w:val="00810829"/>
    <w:rsid w:val="00810983"/>
    <w:rsid w:val="00810D6D"/>
    <w:rsid w:val="00811379"/>
    <w:rsid w:val="008120D8"/>
    <w:rsid w:val="0081287B"/>
    <w:rsid w:val="00812D95"/>
    <w:rsid w:val="008130F8"/>
    <w:rsid w:val="00813780"/>
    <w:rsid w:val="00813783"/>
    <w:rsid w:val="0081398E"/>
    <w:rsid w:val="0081445C"/>
    <w:rsid w:val="00814ECD"/>
    <w:rsid w:val="00815808"/>
    <w:rsid w:val="00815C11"/>
    <w:rsid w:val="00815EAA"/>
    <w:rsid w:val="0081650D"/>
    <w:rsid w:val="008167D4"/>
    <w:rsid w:val="008169E2"/>
    <w:rsid w:val="00816DDE"/>
    <w:rsid w:val="00820E77"/>
    <w:rsid w:val="00821231"/>
    <w:rsid w:val="00821330"/>
    <w:rsid w:val="00821F37"/>
    <w:rsid w:val="008221AA"/>
    <w:rsid w:val="00822F9E"/>
    <w:rsid w:val="008235C4"/>
    <w:rsid w:val="0082377B"/>
    <w:rsid w:val="008237BD"/>
    <w:rsid w:val="008239C6"/>
    <w:rsid w:val="00824D3F"/>
    <w:rsid w:val="00824DA3"/>
    <w:rsid w:val="00824EF7"/>
    <w:rsid w:val="00824F4C"/>
    <w:rsid w:val="00825072"/>
    <w:rsid w:val="00825450"/>
    <w:rsid w:val="00825486"/>
    <w:rsid w:val="00825D0F"/>
    <w:rsid w:val="008272ED"/>
    <w:rsid w:val="00827561"/>
    <w:rsid w:val="00827785"/>
    <w:rsid w:val="00827F21"/>
    <w:rsid w:val="008301AC"/>
    <w:rsid w:val="0083096E"/>
    <w:rsid w:val="008309C6"/>
    <w:rsid w:val="00830A90"/>
    <w:rsid w:val="00830B34"/>
    <w:rsid w:val="00830BC9"/>
    <w:rsid w:val="0083171D"/>
    <w:rsid w:val="008317C5"/>
    <w:rsid w:val="00831ADA"/>
    <w:rsid w:val="00832470"/>
    <w:rsid w:val="00832662"/>
    <w:rsid w:val="00833D39"/>
    <w:rsid w:val="00833F38"/>
    <w:rsid w:val="00833F92"/>
    <w:rsid w:val="008362D5"/>
    <w:rsid w:val="0083638A"/>
    <w:rsid w:val="00836B0A"/>
    <w:rsid w:val="00837804"/>
    <w:rsid w:val="008400A6"/>
    <w:rsid w:val="00840758"/>
    <w:rsid w:val="00840C28"/>
    <w:rsid w:val="00841BBB"/>
    <w:rsid w:val="0084309F"/>
    <w:rsid w:val="00843351"/>
    <w:rsid w:val="00843E66"/>
    <w:rsid w:val="008448F7"/>
    <w:rsid w:val="0084496B"/>
    <w:rsid w:val="00844B0D"/>
    <w:rsid w:val="00844D4E"/>
    <w:rsid w:val="00845372"/>
    <w:rsid w:val="008454BE"/>
    <w:rsid w:val="008455D6"/>
    <w:rsid w:val="008469AF"/>
    <w:rsid w:val="00847009"/>
    <w:rsid w:val="00847FBC"/>
    <w:rsid w:val="0085110B"/>
    <w:rsid w:val="0085168E"/>
    <w:rsid w:val="008516FA"/>
    <w:rsid w:val="00851777"/>
    <w:rsid w:val="00852814"/>
    <w:rsid w:val="00852AC6"/>
    <w:rsid w:val="00854213"/>
    <w:rsid w:val="00854A20"/>
    <w:rsid w:val="00854F11"/>
    <w:rsid w:val="00855A42"/>
    <w:rsid w:val="00856378"/>
    <w:rsid w:val="0085657A"/>
    <w:rsid w:val="00856D3D"/>
    <w:rsid w:val="00856F4E"/>
    <w:rsid w:val="008574E4"/>
    <w:rsid w:val="00857886"/>
    <w:rsid w:val="00857B78"/>
    <w:rsid w:val="00860660"/>
    <w:rsid w:val="00860A5A"/>
    <w:rsid w:val="00860A76"/>
    <w:rsid w:val="008610A4"/>
    <w:rsid w:val="008619C2"/>
    <w:rsid w:val="00862835"/>
    <w:rsid w:val="00862F7E"/>
    <w:rsid w:val="00864D26"/>
    <w:rsid w:val="00865647"/>
    <w:rsid w:val="00865CED"/>
    <w:rsid w:val="00866CD6"/>
    <w:rsid w:val="0087097D"/>
    <w:rsid w:val="00870DD0"/>
    <w:rsid w:val="00871245"/>
    <w:rsid w:val="00871B41"/>
    <w:rsid w:val="008720A3"/>
    <w:rsid w:val="0087213C"/>
    <w:rsid w:val="008721BF"/>
    <w:rsid w:val="00872806"/>
    <w:rsid w:val="008729CB"/>
    <w:rsid w:val="00872D13"/>
    <w:rsid w:val="00872FB8"/>
    <w:rsid w:val="008732CE"/>
    <w:rsid w:val="00873BD2"/>
    <w:rsid w:val="00873C64"/>
    <w:rsid w:val="00873EA9"/>
    <w:rsid w:val="008742B6"/>
    <w:rsid w:val="00874576"/>
    <w:rsid w:val="00874946"/>
    <w:rsid w:val="00875026"/>
    <w:rsid w:val="0087517E"/>
    <w:rsid w:val="0087520B"/>
    <w:rsid w:val="00875D1C"/>
    <w:rsid w:val="00876298"/>
    <w:rsid w:val="00876342"/>
    <w:rsid w:val="008765F1"/>
    <w:rsid w:val="00876B1A"/>
    <w:rsid w:val="0088015F"/>
    <w:rsid w:val="00881017"/>
    <w:rsid w:val="00881385"/>
    <w:rsid w:val="00881804"/>
    <w:rsid w:val="00882CED"/>
    <w:rsid w:val="00883135"/>
    <w:rsid w:val="00884977"/>
    <w:rsid w:val="008859B0"/>
    <w:rsid w:val="00885DBC"/>
    <w:rsid w:val="00886177"/>
    <w:rsid w:val="00886248"/>
    <w:rsid w:val="0088626D"/>
    <w:rsid w:val="008867C6"/>
    <w:rsid w:val="00886B3F"/>
    <w:rsid w:val="00887450"/>
    <w:rsid w:val="00887ABF"/>
    <w:rsid w:val="00887CFB"/>
    <w:rsid w:val="00890277"/>
    <w:rsid w:val="008902CE"/>
    <w:rsid w:val="008907A0"/>
    <w:rsid w:val="00891153"/>
    <w:rsid w:val="008912D0"/>
    <w:rsid w:val="00891E89"/>
    <w:rsid w:val="008923C2"/>
    <w:rsid w:val="00893BD4"/>
    <w:rsid w:val="00893D94"/>
    <w:rsid w:val="00893E66"/>
    <w:rsid w:val="0089458C"/>
    <w:rsid w:val="00894AEA"/>
    <w:rsid w:val="00894F8D"/>
    <w:rsid w:val="00895273"/>
    <w:rsid w:val="008953E3"/>
    <w:rsid w:val="008954A2"/>
    <w:rsid w:val="008954F1"/>
    <w:rsid w:val="00896064"/>
    <w:rsid w:val="00896537"/>
    <w:rsid w:val="0089666B"/>
    <w:rsid w:val="008972F8"/>
    <w:rsid w:val="008976D6"/>
    <w:rsid w:val="008A078D"/>
    <w:rsid w:val="008A1592"/>
    <w:rsid w:val="008A1771"/>
    <w:rsid w:val="008A1C93"/>
    <w:rsid w:val="008A1DA5"/>
    <w:rsid w:val="008A2041"/>
    <w:rsid w:val="008A2A41"/>
    <w:rsid w:val="008A32B4"/>
    <w:rsid w:val="008A4085"/>
    <w:rsid w:val="008A4309"/>
    <w:rsid w:val="008A473C"/>
    <w:rsid w:val="008A5597"/>
    <w:rsid w:val="008A5C15"/>
    <w:rsid w:val="008A5E25"/>
    <w:rsid w:val="008A6272"/>
    <w:rsid w:val="008A6F9E"/>
    <w:rsid w:val="008A7AC0"/>
    <w:rsid w:val="008A7E08"/>
    <w:rsid w:val="008B0064"/>
    <w:rsid w:val="008B078D"/>
    <w:rsid w:val="008B1431"/>
    <w:rsid w:val="008B1564"/>
    <w:rsid w:val="008B49F7"/>
    <w:rsid w:val="008B4F51"/>
    <w:rsid w:val="008B64E3"/>
    <w:rsid w:val="008B661B"/>
    <w:rsid w:val="008B6E55"/>
    <w:rsid w:val="008B740F"/>
    <w:rsid w:val="008C0029"/>
    <w:rsid w:val="008C0037"/>
    <w:rsid w:val="008C111A"/>
    <w:rsid w:val="008C12A8"/>
    <w:rsid w:val="008C1392"/>
    <w:rsid w:val="008C1D29"/>
    <w:rsid w:val="008C23CF"/>
    <w:rsid w:val="008C25DA"/>
    <w:rsid w:val="008C34A1"/>
    <w:rsid w:val="008C39D8"/>
    <w:rsid w:val="008C4516"/>
    <w:rsid w:val="008C4560"/>
    <w:rsid w:val="008C4824"/>
    <w:rsid w:val="008C4A07"/>
    <w:rsid w:val="008C5640"/>
    <w:rsid w:val="008C607A"/>
    <w:rsid w:val="008C6D5C"/>
    <w:rsid w:val="008C712F"/>
    <w:rsid w:val="008C7B57"/>
    <w:rsid w:val="008C7E29"/>
    <w:rsid w:val="008D026A"/>
    <w:rsid w:val="008D03FA"/>
    <w:rsid w:val="008D0A81"/>
    <w:rsid w:val="008D10A3"/>
    <w:rsid w:val="008D17EB"/>
    <w:rsid w:val="008D2088"/>
    <w:rsid w:val="008D2276"/>
    <w:rsid w:val="008D24EA"/>
    <w:rsid w:val="008D363A"/>
    <w:rsid w:val="008D4333"/>
    <w:rsid w:val="008D5219"/>
    <w:rsid w:val="008D5480"/>
    <w:rsid w:val="008D59EE"/>
    <w:rsid w:val="008D5C94"/>
    <w:rsid w:val="008D632C"/>
    <w:rsid w:val="008D6330"/>
    <w:rsid w:val="008D73C7"/>
    <w:rsid w:val="008D780B"/>
    <w:rsid w:val="008E025F"/>
    <w:rsid w:val="008E07A0"/>
    <w:rsid w:val="008E07BE"/>
    <w:rsid w:val="008E0AB3"/>
    <w:rsid w:val="008E0D72"/>
    <w:rsid w:val="008E12F7"/>
    <w:rsid w:val="008E163F"/>
    <w:rsid w:val="008E177F"/>
    <w:rsid w:val="008E1A39"/>
    <w:rsid w:val="008E1CD8"/>
    <w:rsid w:val="008E1D16"/>
    <w:rsid w:val="008E26B5"/>
    <w:rsid w:val="008E26F1"/>
    <w:rsid w:val="008E273F"/>
    <w:rsid w:val="008E281D"/>
    <w:rsid w:val="008E2867"/>
    <w:rsid w:val="008E29E6"/>
    <w:rsid w:val="008E2E4D"/>
    <w:rsid w:val="008E4C67"/>
    <w:rsid w:val="008E4F14"/>
    <w:rsid w:val="008E52D3"/>
    <w:rsid w:val="008E5AA6"/>
    <w:rsid w:val="008E6350"/>
    <w:rsid w:val="008E7285"/>
    <w:rsid w:val="008E7792"/>
    <w:rsid w:val="008F11DD"/>
    <w:rsid w:val="008F1310"/>
    <w:rsid w:val="008F1AAE"/>
    <w:rsid w:val="008F1BEC"/>
    <w:rsid w:val="008F3E38"/>
    <w:rsid w:val="008F3EEF"/>
    <w:rsid w:val="008F3F0E"/>
    <w:rsid w:val="008F422E"/>
    <w:rsid w:val="008F4C6F"/>
    <w:rsid w:val="008F5AB0"/>
    <w:rsid w:val="008F5C3F"/>
    <w:rsid w:val="008F5D9C"/>
    <w:rsid w:val="008F6EC6"/>
    <w:rsid w:val="008F7673"/>
    <w:rsid w:val="008F7832"/>
    <w:rsid w:val="008F7A69"/>
    <w:rsid w:val="008F7A8B"/>
    <w:rsid w:val="008F7B6B"/>
    <w:rsid w:val="008F7D22"/>
    <w:rsid w:val="008F7D91"/>
    <w:rsid w:val="008F7FD4"/>
    <w:rsid w:val="00900D81"/>
    <w:rsid w:val="0090123A"/>
    <w:rsid w:val="00901A89"/>
    <w:rsid w:val="00901EED"/>
    <w:rsid w:val="00902227"/>
    <w:rsid w:val="0090231F"/>
    <w:rsid w:val="00902C32"/>
    <w:rsid w:val="009035C4"/>
    <w:rsid w:val="00903F70"/>
    <w:rsid w:val="009044DE"/>
    <w:rsid w:val="009045D8"/>
    <w:rsid w:val="009045F0"/>
    <w:rsid w:val="009058B6"/>
    <w:rsid w:val="00905AC2"/>
    <w:rsid w:val="00906125"/>
    <w:rsid w:val="00906A35"/>
    <w:rsid w:val="009077C0"/>
    <w:rsid w:val="009101E5"/>
    <w:rsid w:val="00910592"/>
    <w:rsid w:val="0091094B"/>
    <w:rsid w:val="009111F9"/>
    <w:rsid w:val="00912CC4"/>
    <w:rsid w:val="00912EF8"/>
    <w:rsid w:val="009130D3"/>
    <w:rsid w:val="009131F3"/>
    <w:rsid w:val="00913AD7"/>
    <w:rsid w:val="00914974"/>
    <w:rsid w:val="00915777"/>
    <w:rsid w:val="0091578B"/>
    <w:rsid w:val="00915B70"/>
    <w:rsid w:val="00915C24"/>
    <w:rsid w:val="00915F98"/>
    <w:rsid w:val="009164F3"/>
    <w:rsid w:val="00916DA5"/>
    <w:rsid w:val="009177D2"/>
    <w:rsid w:val="00917C1E"/>
    <w:rsid w:val="0092037C"/>
    <w:rsid w:val="0092096E"/>
    <w:rsid w:val="0092112E"/>
    <w:rsid w:val="00921824"/>
    <w:rsid w:val="00921B38"/>
    <w:rsid w:val="00922731"/>
    <w:rsid w:val="00922B15"/>
    <w:rsid w:val="00922E92"/>
    <w:rsid w:val="00923396"/>
    <w:rsid w:val="0092342F"/>
    <w:rsid w:val="009236FA"/>
    <w:rsid w:val="009237BE"/>
    <w:rsid w:val="0092396E"/>
    <w:rsid w:val="00923A89"/>
    <w:rsid w:val="00924581"/>
    <w:rsid w:val="00925535"/>
    <w:rsid w:val="0092631F"/>
    <w:rsid w:val="00926367"/>
    <w:rsid w:val="009265DB"/>
    <w:rsid w:val="00926987"/>
    <w:rsid w:val="00926BEF"/>
    <w:rsid w:val="00926ECC"/>
    <w:rsid w:val="00926F7C"/>
    <w:rsid w:val="00927490"/>
    <w:rsid w:val="009279EB"/>
    <w:rsid w:val="00927F11"/>
    <w:rsid w:val="0093027B"/>
    <w:rsid w:val="00932DDB"/>
    <w:rsid w:val="00933015"/>
    <w:rsid w:val="009330B3"/>
    <w:rsid w:val="00933AC9"/>
    <w:rsid w:val="009348A1"/>
    <w:rsid w:val="00935A0F"/>
    <w:rsid w:val="00935E04"/>
    <w:rsid w:val="00936595"/>
    <w:rsid w:val="009378E5"/>
    <w:rsid w:val="009406FE"/>
    <w:rsid w:val="00940828"/>
    <w:rsid w:val="00940AA7"/>
    <w:rsid w:val="009412B3"/>
    <w:rsid w:val="00941483"/>
    <w:rsid w:val="009415FF"/>
    <w:rsid w:val="00941718"/>
    <w:rsid w:val="00941C2B"/>
    <w:rsid w:val="00942E74"/>
    <w:rsid w:val="0094378C"/>
    <w:rsid w:val="0094424F"/>
    <w:rsid w:val="00944C24"/>
    <w:rsid w:val="00944E1F"/>
    <w:rsid w:val="00944EDF"/>
    <w:rsid w:val="00945568"/>
    <w:rsid w:val="00946708"/>
    <w:rsid w:val="00946EF9"/>
    <w:rsid w:val="00947406"/>
    <w:rsid w:val="00947EBA"/>
    <w:rsid w:val="00950AA3"/>
    <w:rsid w:val="0095103F"/>
    <w:rsid w:val="00951146"/>
    <w:rsid w:val="00951415"/>
    <w:rsid w:val="009528A0"/>
    <w:rsid w:val="00952C1A"/>
    <w:rsid w:val="00953572"/>
    <w:rsid w:val="00954BD7"/>
    <w:rsid w:val="00954BFD"/>
    <w:rsid w:val="00954E9E"/>
    <w:rsid w:val="009554E4"/>
    <w:rsid w:val="009557FB"/>
    <w:rsid w:val="009564DF"/>
    <w:rsid w:val="009565EC"/>
    <w:rsid w:val="00956FA1"/>
    <w:rsid w:val="00957FD2"/>
    <w:rsid w:val="0096021C"/>
    <w:rsid w:val="00960343"/>
    <w:rsid w:val="009604E5"/>
    <w:rsid w:val="00960760"/>
    <w:rsid w:val="00960EF6"/>
    <w:rsid w:val="00961F90"/>
    <w:rsid w:val="009624C2"/>
    <w:rsid w:val="00962852"/>
    <w:rsid w:val="00962D06"/>
    <w:rsid w:val="009631D6"/>
    <w:rsid w:val="009637E5"/>
    <w:rsid w:val="00963909"/>
    <w:rsid w:val="009645F6"/>
    <w:rsid w:val="00964E62"/>
    <w:rsid w:val="00964EAA"/>
    <w:rsid w:val="00965A93"/>
    <w:rsid w:val="00965FB0"/>
    <w:rsid w:val="009661DB"/>
    <w:rsid w:val="009667D5"/>
    <w:rsid w:val="009712B8"/>
    <w:rsid w:val="0097157F"/>
    <w:rsid w:val="009729E4"/>
    <w:rsid w:val="009739A5"/>
    <w:rsid w:val="00973F8F"/>
    <w:rsid w:val="009742D5"/>
    <w:rsid w:val="00974B86"/>
    <w:rsid w:val="00974FB2"/>
    <w:rsid w:val="00976D51"/>
    <w:rsid w:val="0097786D"/>
    <w:rsid w:val="0097795F"/>
    <w:rsid w:val="0098130A"/>
    <w:rsid w:val="00981348"/>
    <w:rsid w:val="0098154E"/>
    <w:rsid w:val="00982328"/>
    <w:rsid w:val="00982BEA"/>
    <w:rsid w:val="009831A1"/>
    <w:rsid w:val="00983442"/>
    <w:rsid w:val="00983B47"/>
    <w:rsid w:val="00983E56"/>
    <w:rsid w:val="00984117"/>
    <w:rsid w:val="00984909"/>
    <w:rsid w:val="00984CCF"/>
    <w:rsid w:val="009854BA"/>
    <w:rsid w:val="0098613E"/>
    <w:rsid w:val="00986D09"/>
    <w:rsid w:val="00987283"/>
    <w:rsid w:val="00987291"/>
    <w:rsid w:val="00987ADB"/>
    <w:rsid w:val="009904BE"/>
    <w:rsid w:val="00990BA2"/>
    <w:rsid w:val="00990EA0"/>
    <w:rsid w:val="009913AA"/>
    <w:rsid w:val="009913E8"/>
    <w:rsid w:val="00992EC7"/>
    <w:rsid w:val="009933F4"/>
    <w:rsid w:val="0099358F"/>
    <w:rsid w:val="009935F3"/>
    <w:rsid w:val="00993784"/>
    <w:rsid w:val="00993CC5"/>
    <w:rsid w:val="00993DF5"/>
    <w:rsid w:val="009948BB"/>
    <w:rsid w:val="00994EFF"/>
    <w:rsid w:val="00994FBA"/>
    <w:rsid w:val="009959C3"/>
    <w:rsid w:val="009960EA"/>
    <w:rsid w:val="00997B87"/>
    <w:rsid w:val="00997BA5"/>
    <w:rsid w:val="009A0079"/>
    <w:rsid w:val="009A0249"/>
    <w:rsid w:val="009A052D"/>
    <w:rsid w:val="009A0CE9"/>
    <w:rsid w:val="009A0EAF"/>
    <w:rsid w:val="009A1340"/>
    <w:rsid w:val="009A13A0"/>
    <w:rsid w:val="009A2365"/>
    <w:rsid w:val="009A271F"/>
    <w:rsid w:val="009A2D57"/>
    <w:rsid w:val="009A3081"/>
    <w:rsid w:val="009A324A"/>
    <w:rsid w:val="009A3E86"/>
    <w:rsid w:val="009A43A5"/>
    <w:rsid w:val="009A4715"/>
    <w:rsid w:val="009A4873"/>
    <w:rsid w:val="009A521F"/>
    <w:rsid w:val="009A5BE6"/>
    <w:rsid w:val="009B057A"/>
    <w:rsid w:val="009B23DC"/>
    <w:rsid w:val="009B24F5"/>
    <w:rsid w:val="009B28FC"/>
    <w:rsid w:val="009B31DB"/>
    <w:rsid w:val="009B3A3E"/>
    <w:rsid w:val="009B3DE6"/>
    <w:rsid w:val="009B446E"/>
    <w:rsid w:val="009B447C"/>
    <w:rsid w:val="009B52F1"/>
    <w:rsid w:val="009B6925"/>
    <w:rsid w:val="009B6A86"/>
    <w:rsid w:val="009B6DEC"/>
    <w:rsid w:val="009B6FE8"/>
    <w:rsid w:val="009B76CC"/>
    <w:rsid w:val="009B7778"/>
    <w:rsid w:val="009B7850"/>
    <w:rsid w:val="009B7A15"/>
    <w:rsid w:val="009C0BDC"/>
    <w:rsid w:val="009C18A7"/>
    <w:rsid w:val="009C1CE1"/>
    <w:rsid w:val="009C231F"/>
    <w:rsid w:val="009C244E"/>
    <w:rsid w:val="009C24ED"/>
    <w:rsid w:val="009C2FE7"/>
    <w:rsid w:val="009C474D"/>
    <w:rsid w:val="009C4860"/>
    <w:rsid w:val="009C4BED"/>
    <w:rsid w:val="009C4FF1"/>
    <w:rsid w:val="009C5B97"/>
    <w:rsid w:val="009C64E1"/>
    <w:rsid w:val="009C6DCE"/>
    <w:rsid w:val="009C6F42"/>
    <w:rsid w:val="009C711E"/>
    <w:rsid w:val="009C71F9"/>
    <w:rsid w:val="009C7873"/>
    <w:rsid w:val="009C7B88"/>
    <w:rsid w:val="009D0119"/>
    <w:rsid w:val="009D03FE"/>
    <w:rsid w:val="009D0596"/>
    <w:rsid w:val="009D0AB3"/>
    <w:rsid w:val="009D0B3C"/>
    <w:rsid w:val="009D0B64"/>
    <w:rsid w:val="009D194C"/>
    <w:rsid w:val="009D233A"/>
    <w:rsid w:val="009D23CD"/>
    <w:rsid w:val="009D2FC6"/>
    <w:rsid w:val="009D3E9B"/>
    <w:rsid w:val="009D3EE8"/>
    <w:rsid w:val="009D5062"/>
    <w:rsid w:val="009D5497"/>
    <w:rsid w:val="009D5A17"/>
    <w:rsid w:val="009D5A80"/>
    <w:rsid w:val="009D7AE6"/>
    <w:rsid w:val="009D7D02"/>
    <w:rsid w:val="009E00D4"/>
    <w:rsid w:val="009E01FB"/>
    <w:rsid w:val="009E02C7"/>
    <w:rsid w:val="009E07C0"/>
    <w:rsid w:val="009E0A8D"/>
    <w:rsid w:val="009E0E4E"/>
    <w:rsid w:val="009E1069"/>
    <w:rsid w:val="009E10EF"/>
    <w:rsid w:val="009E1D01"/>
    <w:rsid w:val="009E26E0"/>
    <w:rsid w:val="009E289F"/>
    <w:rsid w:val="009E362C"/>
    <w:rsid w:val="009E3905"/>
    <w:rsid w:val="009E3A6D"/>
    <w:rsid w:val="009E3AD8"/>
    <w:rsid w:val="009E4196"/>
    <w:rsid w:val="009E46CE"/>
    <w:rsid w:val="009E532D"/>
    <w:rsid w:val="009E56FE"/>
    <w:rsid w:val="009E59A0"/>
    <w:rsid w:val="009E5FF3"/>
    <w:rsid w:val="009E6693"/>
    <w:rsid w:val="009E6EE4"/>
    <w:rsid w:val="009E7621"/>
    <w:rsid w:val="009E7673"/>
    <w:rsid w:val="009E7B62"/>
    <w:rsid w:val="009E7D71"/>
    <w:rsid w:val="009E7EFC"/>
    <w:rsid w:val="009F20E6"/>
    <w:rsid w:val="009F2330"/>
    <w:rsid w:val="009F24D5"/>
    <w:rsid w:val="009F3053"/>
    <w:rsid w:val="009F3080"/>
    <w:rsid w:val="009F3087"/>
    <w:rsid w:val="009F349F"/>
    <w:rsid w:val="009F3728"/>
    <w:rsid w:val="009F5A5B"/>
    <w:rsid w:val="009F5DD2"/>
    <w:rsid w:val="009F68AA"/>
    <w:rsid w:val="009F69ED"/>
    <w:rsid w:val="009F6A08"/>
    <w:rsid w:val="009F7985"/>
    <w:rsid w:val="009F79B3"/>
    <w:rsid w:val="009F7A2A"/>
    <w:rsid w:val="009F7D62"/>
    <w:rsid w:val="00A0040C"/>
    <w:rsid w:val="00A00F40"/>
    <w:rsid w:val="00A01120"/>
    <w:rsid w:val="00A01E77"/>
    <w:rsid w:val="00A02582"/>
    <w:rsid w:val="00A03923"/>
    <w:rsid w:val="00A04475"/>
    <w:rsid w:val="00A0451B"/>
    <w:rsid w:val="00A046F6"/>
    <w:rsid w:val="00A04CA3"/>
    <w:rsid w:val="00A04EEF"/>
    <w:rsid w:val="00A04FB6"/>
    <w:rsid w:val="00A05886"/>
    <w:rsid w:val="00A05EBD"/>
    <w:rsid w:val="00A0656D"/>
    <w:rsid w:val="00A0721A"/>
    <w:rsid w:val="00A07C13"/>
    <w:rsid w:val="00A07C66"/>
    <w:rsid w:val="00A106BE"/>
    <w:rsid w:val="00A12D9A"/>
    <w:rsid w:val="00A1354F"/>
    <w:rsid w:val="00A1363A"/>
    <w:rsid w:val="00A13DB1"/>
    <w:rsid w:val="00A13DD2"/>
    <w:rsid w:val="00A14381"/>
    <w:rsid w:val="00A155FF"/>
    <w:rsid w:val="00A16DF2"/>
    <w:rsid w:val="00A16E40"/>
    <w:rsid w:val="00A17777"/>
    <w:rsid w:val="00A17E9D"/>
    <w:rsid w:val="00A20595"/>
    <w:rsid w:val="00A20DE4"/>
    <w:rsid w:val="00A21341"/>
    <w:rsid w:val="00A2163E"/>
    <w:rsid w:val="00A224B5"/>
    <w:rsid w:val="00A227D6"/>
    <w:rsid w:val="00A235A1"/>
    <w:rsid w:val="00A24051"/>
    <w:rsid w:val="00A24295"/>
    <w:rsid w:val="00A2453B"/>
    <w:rsid w:val="00A245DD"/>
    <w:rsid w:val="00A24859"/>
    <w:rsid w:val="00A249AE"/>
    <w:rsid w:val="00A24A30"/>
    <w:rsid w:val="00A24BD2"/>
    <w:rsid w:val="00A255F1"/>
    <w:rsid w:val="00A25965"/>
    <w:rsid w:val="00A259C0"/>
    <w:rsid w:val="00A25DF1"/>
    <w:rsid w:val="00A2617D"/>
    <w:rsid w:val="00A262DD"/>
    <w:rsid w:val="00A26772"/>
    <w:rsid w:val="00A26B51"/>
    <w:rsid w:val="00A26F64"/>
    <w:rsid w:val="00A30BF7"/>
    <w:rsid w:val="00A31B9A"/>
    <w:rsid w:val="00A325E0"/>
    <w:rsid w:val="00A3262E"/>
    <w:rsid w:val="00A32D65"/>
    <w:rsid w:val="00A33634"/>
    <w:rsid w:val="00A34796"/>
    <w:rsid w:val="00A34BE7"/>
    <w:rsid w:val="00A35C9F"/>
    <w:rsid w:val="00A3624E"/>
    <w:rsid w:val="00A3679C"/>
    <w:rsid w:val="00A3703D"/>
    <w:rsid w:val="00A40307"/>
    <w:rsid w:val="00A40334"/>
    <w:rsid w:val="00A40B9F"/>
    <w:rsid w:val="00A40D88"/>
    <w:rsid w:val="00A4149F"/>
    <w:rsid w:val="00A414E9"/>
    <w:rsid w:val="00A416AE"/>
    <w:rsid w:val="00A42C52"/>
    <w:rsid w:val="00A4301F"/>
    <w:rsid w:val="00A43410"/>
    <w:rsid w:val="00A43923"/>
    <w:rsid w:val="00A43A9E"/>
    <w:rsid w:val="00A43BB6"/>
    <w:rsid w:val="00A43C1A"/>
    <w:rsid w:val="00A44C42"/>
    <w:rsid w:val="00A45531"/>
    <w:rsid w:val="00A4574B"/>
    <w:rsid w:val="00A45FF8"/>
    <w:rsid w:val="00A4730F"/>
    <w:rsid w:val="00A47C40"/>
    <w:rsid w:val="00A50096"/>
    <w:rsid w:val="00A50421"/>
    <w:rsid w:val="00A506A6"/>
    <w:rsid w:val="00A506FF"/>
    <w:rsid w:val="00A50F96"/>
    <w:rsid w:val="00A51483"/>
    <w:rsid w:val="00A51566"/>
    <w:rsid w:val="00A51615"/>
    <w:rsid w:val="00A5206C"/>
    <w:rsid w:val="00A5246F"/>
    <w:rsid w:val="00A52794"/>
    <w:rsid w:val="00A52FC3"/>
    <w:rsid w:val="00A530E7"/>
    <w:rsid w:val="00A53501"/>
    <w:rsid w:val="00A537EA"/>
    <w:rsid w:val="00A53C7E"/>
    <w:rsid w:val="00A54188"/>
    <w:rsid w:val="00A55422"/>
    <w:rsid w:val="00A554E0"/>
    <w:rsid w:val="00A55AE6"/>
    <w:rsid w:val="00A55B1F"/>
    <w:rsid w:val="00A56673"/>
    <w:rsid w:val="00A56725"/>
    <w:rsid w:val="00A57010"/>
    <w:rsid w:val="00A57665"/>
    <w:rsid w:val="00A57A94"/>
    <w:rsid w:val="00A57D5A"/>
    <w:rsid w:val="00A57F1E"/>
    <w:rsid w:val="00A60B0B"/>
    <w:rsid w:val="00A60C13"/>
    <w:rsid w:val="00A611F4"/>
    <w:rsid w:val="00A61ED3"/>
    <w:rsid w:val="00A623E4"/>
    <w:rsid w:val="00A6258D"/>
    <w:rsid w:val="00A642CD"/>
    <w:rsid w:val="00A64336"/>
    <w:rsid w:val="00A646E9"/>
    <w:rsid w:val="00A64BE6"/>
    <w:rsid w:val="00A65255"/>
    <w:rsid w:val="00A66614"/>
    <w:rsid w:val="00A667AC"/>
    <w:rsid w:val="00A66A18"/>
    <w:rsid w:val="00A67128"/>
    <w:rsid w:val="00A67526"/>
    <w:rsid w:val="00A702AB"/>
    <w:rsid w:val="00A70C5A"/>
    <w:rsid w:val="00A71062"/>
    <w:rsid w:val="00A7135D"/>
    <w:rsid w:val="00A725AA"/>
    <w:rsid w:val="00A726F7"/>
    <w:rsid w:val="00A72D19"/>
    <w:rsid w:val="00A72DC5"/>
    <w:rsid w:val="00A7446F"/>
    <w:rsid w:val="00A7587B"/>
    <w:rsid w:val="00A80066"/>
    <w:rsid w:val="00A808BD"/>
    <w:rsid w:val="00A80CE6"/>
    <w:rsid w:val="00A821A8"/>
    <w:rsid w:val="00A8282E"/>
    <w:rsid w:val="00A830EA"/>
    <w:rsid w:val="00A8334B"/>
    <w:rsid w:val="00A836AD"/>
    <w:rsid w:val="00A85118"/>
    <w:rsid w:val="00A85DF2"/>
    <w:rsid w:val="00A8608D"/>
    <w:rsid w:val="00A8645C"/>
    <w:rsid w:val="00A873FE"/>
    <w:rsid w:val="00A87421"/>
    <w:rsid w:val="00A9052E"/>
    <w:rsid w:val="00A9067D"/>
    <w:rsid w:val="00A90CA0"/>
    <w:rsid w:val="00A91193"/>
    <w:rsid w:val="00A91291"/>
    <w:rsid w:val="00A91B4A"/>
    <w:rsid w:val="00A91BC5"/>
    <w:rsid w:val="00A92634"/>
    <w:rsid w:val="00A92A62"/>
    <w:rsid w:val="00A92C22"/>
    <w:rsid w:val="00A935D6"/>
    <w:rsid w:val="00A94464"/>
    <w:rsid w:val="00A94884"/>
    <w:rsid w:val="00A94CBD"/>
    <w:rsid w:val="00A95C92"/>
    <w:rsid w:val="00A95D01"/>
    <w:rsid w:val="00A95F1B"/>
    <w:rsid w:val="00A966AE"/>
    <w:rsid w:val="00A96BA2"/>
    <w:rsid w:val="00A96D65"/>
    <w:rsid w:val="00A97AC2"/>
    <w:rsid w:val="00AA009A"/>
    <w:rsid w:val="00AA0130"/>
    <w:rsid w:val="00AA06B5"/>
    <w:rsid w:val="00AA0A9B"/>
    <w:rsid w:val="00AA128C"/>
    <w:rsid w:val="00AA1424"/>
    <w:rsid w:val="00AA155E"/>
    <w:rsid w:val="00AA22BA"/>
    <w:rsid w:val="00AA24F4"/>
    <w:rsid w:val="00AA2CB0"/>
    <w:rsid w:val="00AA2E90"/>
    <w:rsid w:val="00AA3924"/>
    <w:rsid w:val="00AA3A73"/>
    <w:rsid w:val="00AA4C84"/>
    <w:rsid w:val="00AA4D2C"/>
    <w:rsid w:val="00AA5149"/>
    <w:rsid w:val="00AA548F"/>
    <w:rsid w:val="00AA6688"/>
    <w:rsid w:val="00AA6765"/>
    <w:rsid w:val="00AA7127"/>
    <w:rsid w:val="00AA753B"/>
    <w:rsid w:val="00AA7614"/>
    <w:rsid w:val="00AB0138"/>
    <w:rsid w:val="00AB06F0"/>
    <w:rsid w:val="00AB0D26"/>
    <w:rsid w:val="00AB0F67"/>
    <w:rsid w:val="00AB1C1F"/>
    <w:rsid w:val="00AB1D6B"/>
    <w:rsid w:val="00AB1D7A"/>
    <w:rsid w:val="00AB28DF"/>
    <w:rsid w:val="00AB2952"/>
    <w:rsid w:val="00AB2B59"/>
    <w:rsid w:val="00AB2E7D"/>
    <w:rsid w:val="00AB2FE1"/>
    <w:rsid w:val="00AB2FF8"/>
    <w:rsid w:val="00AB30C5"/>
    <w:rsid w:val="00AB3318"/>
    <w:rsid w:val="00AB50DE"/>
    <w:rsid w:val="00AB51E2"/>
    <w:rsid w:val="00AB604E"/>
    <w:rsid w:val="00AB6B52"/>
    <w:rsid w:val="00AC039C"/>
    <w:rsid w:val="00AC0B6A"/>
    <w:rsid w:val="00AC0EE1"/>
    <w:rsid w:val="00AC1289"/>
    <w:rsid w:val="00AC157A"/>
    <w:rsid w:val="00AC1750"/>
    <w:rsid w:val="00AC26D3"/>
    <w:rsid w:val="00AC2807"/>
    <w:rsid w:val="00AC3A03"/>
    <w:rsid w:val="00AC3F09"/>
    <w:rsid w:val="00AC453E"/>
    <w:rsid w:val="00AC45FB"/>
    <w:rsid w:val="00AC4FE6"/>
    <w:rsid w:val="00AC5986"/>
    <w:rsid w:val="00AC621B"/>
    <w:rsid w:val="00AC769C"/>
    <w:rsid w:val="00AC7C05"/>
    <w:rsid w:val="00AC7C53"/>
    <w:rsid w:val="00AC7D4F"/>
    <w:rsid w:val="00AD02C0"/>
    <w:rsid w:val="00AD26D3"/>
    <w:rsid w:val="00AD2886"/>
    <w:rsid w:val="00AD2ADD"/>
    <w:rsid w:val="00AD3532"/>
    <w:rsid w:val="00AD3B89"/>
    <w:rsid w:val="00AD3D46"/>
    <w:rsid w:val="00AD3D5A"/>
    <w:rsid w:val="00AD4D22"/>
    <w:rsid w:val="00AD53CF"/>
    <w:rsid w:val="00AD5462"/>
    <w:rsid w:val="00AD58BB"/>
    <w:rsid w:val="00AD5C4C"/>
    <w:rsid w:val="00AD5DFA"/>
    <w:rsid w:val="00AD6407"/>
    <w:rsid w:val="00AD6761"/>
    <w:rsid w:val="00AD6CB2"/>
    <w:rsid w:val="00AD7079"/>
    <w:rsid w:val="00AD732E"/>
    <w:rsid w:val="00AD73A8"/>
    <w:rsid w:val="00AD7BB4"/>
    <w:rsid w:val="00AE14F8"/>
    <w:rsid w:val="00AE169E"/>
    <w:rsid w:val="00AE1BF1"/>
    <w:rsid w:val="00AE1F21"/>
    <w:rsid w:val="00AE32D3"/>
    <w:rsid w:val="00AE355F"/>
    <w:rsid w:val="00AE37D7"/>
    <w:rsid w:val="00AE3B8E"/>
    <w:rsid w:val="00AE4847"/>
    <w:rsid w:val="00AE5346"/>
    <w:rsid w:val="00AE5372"/>
    <w:rsid w:val="00AE537D"/>
    <w:rsid w:val="00AE588E"/>
    <w:rsid w:val="00AE5E4C"/>
    <w:rsid w:val="00AE6AE8"/>
    <w:rsid w:val="00AE6FFB"/>
    <w:rsid w:val="00AE7DFB"/>
    <w:rsid w:val="00AF024A"/>
    <w:rsid w:val="00AF07E9"/>
    <w:rsid w:val="00AF0D94"/>
    <w:rsid w:val="00AF1860"/>
    <w:rsid w:val="00AF202D"/>
    <w:rsid w:val="00AF2515"/>
    <w:rsid w:val="00AF2D48"/>
    <w:rsid w:val="00AF3556"/>
    <w:rsid w:val="00AF36C7"/>
    <w:rsid w:val="00AF3853"/>
    <w:rsid w:val="00AF3E75"/>
    <w:rsid w:val="00AF4393"/>
    <w:rsid w:val="00AF51F6"/>
    <w:rsid w:val="00AF528F"/>
    <w:rsid w:val="00AF54EA"/>
    <w:rsid w:val="00AF605D"/>
    <w:rsid w:val="00AF606B"/>
    <w:rsid w:val="00AF6158"/>
    <w:rsid w:val="00AF6337"/>
    <w:rsid w:val="00AF6707"/>
    <w:rsid w:val="00AF79BE"/>
    <w:rsid w:val="00B010BA"/>
    <w:rsid w:val="00B02FD1"/>
    <w:rsid w:val="00B045F2"/>
    <w:rsid w:val="00B047AC"/>
    <w:rsid w:val="00B04EF5"/>
    <w:rsid w:val="00B0565A"/>
    <w:rsid w:val="00B058C8"/>
    <w:rsid w:val="00B059BA"/>
    <w:rsid w:val="00B05CE8"/>
    <w:rsid w:val="00B05FC4"/>
    <w:rsid w:val="00B06533"/>
    <w:rsid w:val="00B0711F"/>
    <w:rsid w:val="00B0714F"/>
    <w:rsid w:val="00B07750"/>
    <w:rsid w:val="00B10B0E"/>
    <w:rsid w:val="00B10C63"/>
    <w:rsid w:val="00B11370"/>
    <w:rsid w:val="00B11A92"/>
    <w:rsid w:val="00B11C82"/>
    <w:rsid w:val="00B123A9"/>
    <w:rsid w:val="00B128FB"/>
    <w:rsid w:val="00B12A0A"/>
    <w:rsid w:val="00B12C2C"/>
    <w:rsid w:val="00B142B4"/>
    <w:rsid w:val="00B14676"/>
    <w:rsid w:val="00B14789"/>
    <w:rsid w:val="00B14C06"/>
    <w:rsid w:val="00B14E11"/>
    <w:rsid w:val="00B1516B"/>
    <w:rsid w:val="00B166B2"/>
    <w:rsid w:val="00B166BD"/>
    <w:rsid w:val="00B1678F"/>
    <w:rsid w:val="00B167CC"/>
    <w:rsid w:val="00B16900"/>
    <w:rsid w:val="00B17190"/>
    <w:rsid w:val="00B206C8"/>
    <w:rsid w:val="00B20C7B"/>
    <w:rsid w:val="00B211D0"/>
    <w:rsid w:val="00B2173A"/>
    <w:rsid w:val="00B21C61"/>
    <w:rsid w:val="00B227B7"/>
    <w:rsid w:val="00B235F4"/>
    <w:rsid w:val="00B24509"/>
    <w:rsid w:val="00B246A7"/>
    <w:rsid w:val="00B246C4"/>
    <w:rsid w:val="00B247C6"/>
    <w:rsid w:val="00B24C74"/>
    <w:rsid w:val="00B26006"/>
    <w:rsid w:val="00B26772"/>
    <w:rsid w:val="00B26A8F"/>
    <w:rsid w:val="00B276CD"/>
    <w:rsid w:val="00B279AA"/>
    <w:rsid w:val="00B27DA8"/>
    <w:rsid w:val="00B27EF4"/>
    <w:rsid w:val="00B30420"/>
    <w:rsid w:val="00B30946"/>
    <w:rsid w:val="00B31164"/>
    <w:rsid w:val="00B325CF"/>
    <w:rsid w:val="00B32F6F"/>
    <w:rsid w:val="00B33366"/>
    <w:rsid w:val="00B33A5C"/>
    <w:rsid w:val="00B34C61"/>
    <w:rsid w:val="00B35457"/>
    <w:rsid w:val="00B3594E"/>
    <w:rsid w:val="00B35EA5"/>
    <w:rsid w:val="00B35EC1"/>
    <w:rsid w:val="00B35FAD"/>
    <w:rsid w:val="00B36A59"/>
    <w:rsid w:val="00B36E6B"/>
    <w:rsid w:val="00B40062"/>
    <w:rsid w:val="00B4033E"/>
    <w:rsid w:val="00B408FD"/>
    <w:rsid w:val="00B40CEF"/>
    <w:rsid w:val="00B41E39"/>
    <w:rsid w:val="00B41F14"/>
    <w:rsid w:val="00B42410"/>
    <w:rsid w:val="00B42A57"/>
    <w:rsid w:val="00B436B6"/>
    <w:rsid w:val="00B4414A"/>
    <w:rsid w:val="00B441BB"/>
    <w:rsid w:val="00B4425E"/>
    <w:rsid w:val="00B4469C"/>
    <w:rsid w:val="00B44A01"/>
    <w:rsid w:val="00B44C16"/>
    <w:rsid w:val="00B4521D"/>
    <w:rsid w:val="00B458DC"/>
    <w:rsid w:val="00B4679D"/>
    <w:rsid w:val="00B469AE"/>
    <w:rsid w:val="00B4760A"/>
    <w:rsid w:val="00B47E9F"/>
    <w:rsid w:val="00B5041A"/>
    <w:rsid w:val="00B50CA8"/>
    <w:rsid w:val="00B51FFC"/>
    <w:rsid w:val="00B529A6"/>
    <w:rsid w:val="00B52BE5"/>
    <w:rsid w:val="00B531F2"/>
    <w:rsid w:val="00B53A76"/>
    <w:rsid w:val="00B53F40"/>
    <w:rsid w:val="00B54367"/>
    <w:rsid w:val="00B54720"/>
    <w:rsid w:val="00B54D61"/>
    <w:rsid w:val="00B556D2"/>
    <w:rsid w:val="00B55735"/>
    <w:rsid w:val="00B55862"/>
    <w:rsid w:val="00B561D7"/>
    <w:rsid w:val="00B5705D"/>
    <w:rsid w:val="00B57308"/>
    <w:rsid w:val="00B57B93"/>
    <w:rsid w:val="00B6093C"/>
    <w:rsid w:val="00B613F9"/>
    <w:rsid w:val="00B614C5"/>
    <w:rsid w:val="00B619A8"/>
    <w:rsid w:val="00B61DC4"/>
    <w:rsid w:val="00B61E7A"/>
    <w:rsid w:val="00B628C0"/>
    <w:rsid w:val="00B62DAA"/>
    <w:rsid w:val="00B62DF5"/>
    <w:rsid w:val="00B64FC7"/>
    <w:rsid w:val="00B6528F"/>
    <w:rsid w:val="00B654FD"/>
    <w:rsid w:val="00B6558E"/>
    <w:rsid w:val="00B6639C"/>
    <w:rsid w:val="00B66D45"/>
    <w:rsid w:val="00B670F9"/>
    <w:rsid w:val="00B67BB6"/>
    <w:rsid w:val="00B72030"/>
    <w:rsid w:val="00B72634"/>
    <w:rsid w:val="00B728B5"/>
    <w:rsid w:val="00B732CB"/>
    <w:rsid w:val="00B754D7"/>
    <w:rsid w:val="00B75D52"/>
    <w:rsid w:val="00B7619B"/>
    <w:rsid w:val="00B762E1"/>
    <w:rsid w:val="00B763FD"/>
    <w:rsid w:val="00B76EA9"/>
    <w:rsid w:val="00B7722F"/>
    <w:rsid w:val="00B80BA1"/>
    <w:rsid w:val="00B80CBE"/>
    <w:rsid w:val="00B8165D"/>
    <w:rsid w:val="00B826A1"/>
    <w:rsid w:val="00B82B88"/>
    <w:rsid w:val="00B834D9"/>
    <w:rsid w:val="00B840E9"/>
    <w:rsid w:val="00B852EA"/>
    <w:rsid w:val="00B85376"/>
    <w:rsid w:val="00B857EF"/>
    <w:rsid w:val="00B863D8"/>
    <w:rsid w:val="00B86521"/>
    <w:rsid w:val="00B86970"/>
    <w:rsid w:val="00B87235"/>
    <w:rsid w:val="00B876CD"/>
    <w:rsid w:val="00B87724"/>
    <w:rsid w:val="00B87FE7"/>
    <w:rsid w:val="00B90079"/>
    <w:rsid w:val="00B90B78"/>
    <w:rsid w:val="00B90ED7"/>
    <w:rsid w:val="00B92C39"/>
    <w:rsid w:val="00B92C69"/>
    <w:rsid w:val="00B92DF9"/>
    <w:rsid w:val="00B93175"/>
    <w:rsid w:val="00B93243"/>
    <w:rsid w:val="00B93476"/>
    <w:rsid w:val="00B93F7F"/>
    <w:rsid w:val="00B94483"/>
    <w:rsid w:val="00B94546"/>
    <w:rsid w:val="00B94950"/>
    <w:rsid w:val="00B95285"/>
    <w:rsid w:val="00B95ADF"/>
    <w:rsid w:val="00B95DBD"/>
    <w:rsid w:val="00B96B28"/>
    <w:rsid w:val="00B972DD"/>
    <w:rsid w:val="00B97638"/>
    <w:rsid w:val="00B97866"/>
    <w:rsid w:val="00B97914"/>
    <w:rsid w:val="00B97F34"/>
    <w:rsid w:val="00BA0B9E"/>
    <w:rsid w:val="00BA0EAD"/>
    <w:rsid w:val="00BA14E8"/>
    <w:rsid w:val="00BA15F8"/>
    <w:rsid w:val="00BA244C"/>
    <w:rsid w:val="00BA351D"/>
    <w:rsid w:val="00BA3B24"/>
    <w:rsid w:val="00BA3EC8"/>
    <w:rsid w:val="00BA45C0"/>
    <w:rsid w:val="00BA50EB"/>
    <w:rsid w:val="00BA5898"/>
    <w:rsid w:val="00BA5B06"/>
    <w:rsid w:val="00BA5B88"/>
    <w:rsid w:val="00BA69F4"/>
    <w:rsid w:val="00BA7376"/>
    <w:rsid w:val="00BA7A70"/>
    <w:rsid w:val="00BA7AB4"/>
    <w:rsid w:val="00BB0A81"/>
    <w:rsid w:val="00BB1BD6"/>
    <w:rsid w:val="00BB1F24"/>
    <w:rsid w:val="00BB26A8"/>
    <w:rsid w:val="00BB3BA8"/>
    <w:rsid w:val="00BB54DE"/>
    <w:rsid w:val="00BB57D0"/>
    <w:rsid w:val="00BB5BEF"/>
    <w:rsid w:val="00BB6C14"/>
    <w:rsid w:val="00BB6C3D"/>
    <w:rsid w:val="00BB713D"/>
    <w:rsid w:val="00BB7E6D"/>
    <w:rsid w:val="00BB7FDC"/>
    <w:rsid w:val="00BC0498"/>
    <w:rsid w:val="00BC10D9"/>
    <w:rsid w:val="00BC10F7"/>
    <w:rsid w:val="00BC2CEF"/>
    <w:rsid w:val="00BC2EAF"/>
    <w:rsid w:val="00BC3043"/>
    <w:rsid w:val="00BC33F6"/>
    <w:rsid w:val="00BC356F"/>
    <w:rsid w:val="00BC3611"/>
    <w:rsid w:val="00BC3ABB"/>
    <w:rsid w:val="00BC3B09"/>
    <w:rsid w:val="00BC40A7"/>
    <w:rsid w:val="00BC4753"/>
    <w:rsid w:val="00BC54A9"/>
    <w:rsid w:val="00BC6775"/>
    <w:rsid w:val="00BC67F5"/>
    <w:rsid w:val="00BD1E95"/>
    <w:rsid w:val="00BD2FB7"/>
    <w:rsid w:val="00BD30D3"/>
    <w:rsid w:val="00BD30DE"/>
    <w:rsid w:val="00BD3DEC"/>
    <w:rsid w:val="00BD4348"/>
    <w:rsid w:val="00BD474C"/>
    <w:rsid w:val="00BD5300"/>
    <w:rsid w:val="00BD561E"/>
    <w:rsid w:val="00BD59E2"/>
    <w:rsid w:val="00BD5AC9"/>
    <w:rsid w:val="00BD62FA"/>
    <w:rsid w:val="00BD64F5"/>
    <w:rsid w:val="00BD7395"/>
    <w:rsid w:val="00BD7F24"/>
    <w:rsid w:val="00BE0606"/>
    <w:rsid w:val="00BE06DE"/>
    <w:rsid w:val="00BE15DC"/>
    <w:rsid w:val="00BE1D1E"/>
    <w:rsid w:val="00BE1D95"/>
    <w:rsid w:val="00BE1E22"/>
    <w:rsid w:val="00BE1E37"/>
    <w:rsid w:val="00BE256D"/>
    <w:rsid w:val="00BE29CD"/>
    <w:rsid w:val="00BE29E3"/>
    <w:rsid w:val="00BE2D17"/>
    <w:rsid w:val="00BE33FC"/>
    <w:rsid w:val="00BE5B90"/>
    <w:rsid w:val="00BE5D85"/>
    <w:rsid w:val="00BE5FE6"/>
    <w:rsid w:val="00BE65AC"/>
    <w:rsid w:val="00BE6E3C"/>
    <w:rsid w:val="00BE770C"/>
    <w:rsid w:val="00BE7C9B"/>
    <w:rsid w:val="00BF0427"/>
    <w:rsid w:val="00BF1905"/>
    <w:rsid w:val="00BF1C3F"/>
    <w:rsid w:val="00BF2F4D"/>
    <w:rsid w:val="00BF31B5"/>
    <w:rsid w:val="00BF363E"/>
    <w:rsid w:val="00BF386C"/>
    <w:rsid w:val="00BF39B7"/>
    <w:rsid w:val="00BF3DE1"/>
    <w:rsid w:val="00BF3FAA"/>
    <w:rsid w:val="00BF5070"/>
    <w:rsid w:val="00BF5499"/>
    <w:rsid w:val="00BF5583"/>
    <w:rsid w:val="00BF5A19"/>
    <w:rsid w:val="00BF5C0E"/>
    <w:rsid w:val="00BF69E8"/>
    <w:rsid w:val="00C00244"/>
    <w:rsid w:val="00C002C8"/>
    <w:rsid w:val="00C004D8"/>
    <w:rsid w:val="00C0172E"/>
    <w:rsid w:val="00C01932"/>
    <w:rsid w:val="00C01CCE"/>
    <w:rsid w:val="00C01F67"/>
    <w:rsid w:val="00C01F85"/>
    <w:rsid w:val="00C027AF"/>
    <w:rsid w:val="00C048FB"/>
    <w:rsid w:val="00C04CA9"/>
    <w:rsid w:val="00C04DE9"/>
    <w:rsid w:val="00C060B9"/>
    <w:rsid w:val="00C06D81"/>
    <w:rsid w:val="00C06DCA"/>
    <w:rsid w:val="00C072D8"/>
    <w:rsid w:val="00C07B3E"/>
    <w:rsid w:val="00C07D46"/>
    <w:rsid w:val="00C1066E"/>
    <w:rsid w:val="00C11115"/>
    <w:rsid w:val="00C1280E"/>
    <w:rsid w:val="00C136B9"/>
    <w:rsid w:val="00C1384D"/>
    <w:rsid w:val="00C14049"/>
    <w:rsid w:val="00C14308"/>
    <w:rsid w:val="00C147CE"/>
    <w:rsid w:val="00C1536E"/>
    <w:rsid w:val="00C15451"/>
    <w:rsid w:val="00C15A33"/>
    <w:rsid w:val="00C15CBD"/>
    <w:rsid w:val="00C16AC0"/>
    <w:rsid w:val="00C16AF1"/>
    <w:rsid w:val="00C16C30"/>
    <w:rsid w:val="00C21DD9"/>
    <w:rsid w:val="00C21FA3"/>
    <w:rsid w:val="00C22D9B"/>
    <w:rsid w:val="00C232B2"/>
    <w:rsid w:val="00C2378C"/>
    <w:rsid w:val="00C23DD7"/>
    <w:rsid w:val="00C23FE5"/>
    <w:rsid w:val="00C25BC3"/>
    <w:rsid w:val="00C26689"/>
    <w:rsid w:val="00C26E70"/>
    <w:rsid w:val="00C27030"/>
    <w:rsid w:val="00C278EA"/>
    <w:rsid w:val="00C279B2"/>
    <w:rsid w:val="00C27CAA"/>
    <w:rsid w:val="00C30042"/>
    <w:rsid w:val="00C3045B"/>
    <w:rsid w:val="00C30546"/>
    <w:rsid w:val="00C305FD"/>
    <w:rsid w:val="00C3082A"/>
    <w:rsid w:val="00C31458"/>
    <w:rsid w:val="00C318DD"/>
    <w:rsid w:val="00C3199B"/>
    <w:rsid w:val="00C31E95"/>
    <w:rsid w:val="00C32C04"/>
    <w:rsid w:val="00C3389C"/>
    <w:rsid w:val="00C33A9B"/>
    <w:rsid w:val="00C33AF6"/>
    <w:rsid w:val="00C33DB7"/>
    <w:rsid w:val="00C34456"/>
    <w:rsid w:val="00C35A0A"/>
    <w:rsid w:val="00C365E1"/>
    <w:rsid w:val="00C36ACD"/>
    <w:rsid w:val="00C36BD7"/>
    <w:rsid w:val="00C37977"/>
    <w:rsid w:val="00C37E5B"/>
    <w:rsid w:val="00C4036B"/>
    <w:rsid w:val="00C4110E"/>
    <w:rsid w:val="00C41C9B"/>
    <w:rsid w:val="00C42BB7"/>
    <w:rsid w:val="00C42EFC"/>
    <w:rsid w:val="00C443BA"/>
    <w:rsid w:val="00C4475D"/>
    <w:rsid w:val="00C44A86"/>
    <w:rsid w:val="00C45708"/>
    <w:rsid w:val="00C458BE"/>
    <w:rsid w:val="00C45E33"/>
    <w:rsid w:val="00C461F3"/>
    <w:rsid w:val="00C463A5"/>
    <w:rsid w:val="00C46501"/>
    <w:rsid w:val="00C47805"/>
    <w:rsid w:val="00C47AF9"/>
    <w:rsid w:val="00C47C8F"/>
    <w:rsid w:val="00C50697"/>
    <w:rsid w:val="00C5075F"/>
    <w:rsid w:val="00C52350"/>
    <w:rsid w:val="00C52742"/>
    <w:rsid w:val="00C5279D"/>
    <w:rsid w:val="00C52837"/>
    <w:rsid w:val="00C52984"/>
    <w:rsid w:val="00C5319A"/>
    <w:rsid w:val="00C532B9"/>
    <w:rsid w:val="00C5450E"/>
    <w:rsid w:val="00C54555"/>
    <w:rsid w:val="00C54FD1"/>
    <w:rsid w:val="00C550B0"/>
    <w:rsid w:val="00C550BA"/>
    <w:rsid w:val="00C578DA"/>
    <w:rsid w:val="00C57959"/>
    <w:rsid w:val="00C604B6"/>
    <w:rsid w:val="00C607EB"/>
    <w:rsid w:val="00C6174D"/>
    <w:rsid w:val="00C6216B"/>
    <w:rsid w:val="00C62945"/>
    <w:rsid w:val="00C634CB"/>
    <w:rsid w:val="00C638DF"/>
    <w:rsid w:val="00C648A2"/>
    <w:rsid w:val="00C64C98"/>
    <w:rsid w:val="00C64CDA"/>
    <w:rsid w:val="00C64F9C"/>
    <w:rsid w:val="00C658F8"/>
    <w:rsid w:val="00C66185"/>
    <w:rsid w:val="00C66397"/>
    <w:rsid w:val="00C66429"/>
    <w:rsid w:val="00C66F62"/>
    <w:rsid w:val="00C6782E"/>
    <w:rsid w:val="00C67E15"/>
    <w:rsid w:val="00C70054"/>
    <w:rsid w:val="00C70706"/>
    <w:rsid w:val="00C70E11"/>
    <w:rsid w:val="00C716D2"/>
    <w:rsid w:val="00C72FA5"/>
    <w:rsid w:val="00C72FC5"/>
    <w:rsid w:val="00C73AD3"/>
    <w:rsid w:val="00C73FC1"/>
    <w:rsid w:val="00C74237"/>
    <w:rsid w:val="00C74696"/>
    <w:rsid w:val="00C748E9"/>
    <w:rsid w:val="00C74959"/>
    <w:rsid w:val="00C74D7E"/>
    <w:rsid w:val="00C758A5"/>
    <w:rsid w:val="00C75DE5"/>
    <w:rsid w:val="00C76B59"/>
    <w:rsid w:val="00C77126"/>
    <w:rsid w:val="00C77E67"/>
    <w:rsid w:val="00C80745"/>
    <w:rsid w:val="00C80F7E"/>
    <w:rsid w:val="00C81BBC"/>
    <w:rsid w:val="00C821D6"/>
    <w:rsid w:val="00C82601"/>
    <w:rsid w:val="00C8373D"/>
    <w:rsid w:val="00C83B43"/>
    <w:rsid w:val="00C84468"/>
    <w:rsid w:val="00C846ED"/>
    <w:rsid w:val="00C84723"/>
    <w:rsid w:val="00C8543E"/>
    <w:rsid w:val="00C85651"/>
    <w:rsid w:val="00C85A09"/>
    <w:rsid w:val="00C85E85"/>
    <w:rsid w:val="00C85EA6"/>
    <w:rsid w:val="00C868CF"/>
    <w:rsid w:val="00C86A6F"/>
    <w:rsid w:val="00C86F16"/>
    <w:rsid w:val="00C86F27"/>
    <w:rsid w:val="00C8740A"/>
    <w:rsid w:val="00C8759B"/>
    <w:rsid w:val="00C876DD"/>
    <w:rsid w:val="00C87A1F"/>
    <w:rsid w:val="00C9006F"/>
    <w:rsid w:val="00C90222"/>
    <w:rsid w:val="00C902D2"/>
    <w:rsid w:val="00C916D9"/>
    <w:rsid w:val="00C917A6"/>
    <w:rsid w:val="00C91B3A"/>
    <w:rsid w:val="00C925A0"/>
    <w:rsid w:val="00C92798"/>
    <w:rsid w:val="00C927D8"/>
    <w:rsid w:val="00C929D3"/>
    <w:rsid w:val="00C929F6"/>
    <w:rsid w:val="00C934D5"/>
    <w:rsid w:val="00C939EF"/>
    <w:rsid w:val="00C9417E"/>
    <w:rsid w:val="00C9547E"/>
    <w:rsid w:val="00C954B5"/>
    <w:rsid w:val="00C958DD"/>
    <w:rsid w:val="00C95B1E"/>
    <w:rsid w:val="00C95CD8"/>
    <w:rsid w:val="00C95D97"/>
    <w:rsid w:val="00C96005"/>
    <w:rsid w:val="00C96901"/>
    <w:rsid w:val="00C96DB3"/>
    <w:rsid w:val="00C97FF6"/>
    <w:rsid w:val="00CA030E"/>
    <w:rsid w:val="00CA03EE"/>
    <w:rsid w:val="00CA06CE"/>
    <w:rsid w:val="00CA0B6C"/>
    <w:rsid w:val="00CA1CF6"/>
    <w:rsid w:val="00CA3A3D"/>
    <w:rsid w:val="00CA3AFA"/>
    <w:rsid w:val="00CA40AE"/>
    <w:rsid w:val="00CA4246"/>
    <w:rsid w:val="00CA48A2"/>
    <w:rsid w:val="00CA5FBD"/>
    <w:rsid w:val="00CA61EB"/>
    <w:rsid w:val="00CA65F7"/>
    <w:rsid w:val="00CA66C4"/>
    <w:rsid w:val="00CA67A5"/>
    <w:rsid w:val="00CA6B44"/>
    <w:rsid w:val="00CA7023"/>
    <w:rsid w:val="00CA7F5D"/>
    <w:rsid w:val="00CB0150"/>
    <w:rsid w:val="00CB02B9"/>
    <w:rsid w:val="00CB0C3A"/>
    <w:rsid w:val="00CB11D3"/>
    <w:rsid w:val="00CB12DA"/>
    <w:rsid w:val="00CB1ABF"/>
    <w:rsid w:val="00CB2070"/>
    <w:rsid w:val="00CB2092"/>
    <w:rsid w:val="00CB268B"/>
    <w:rsid w:val="00CB2907"/>
    <w:rsid w:val="00CB2931"/>
    <w:rsid w:val="00CB3380"/>
    <w:rsid w:val="00CB3816"/>
    <w:rsid w:val="00CB3F63"/>
    <w:rsid w:val="00CB4526"/>
    <w:rsid w:val="00CB5164"/>
    <w:rsid w:val="00CB58AE"/>
    <w:rsid w:val="00CB5E93"/>
    <w:rsid w:val="00CB5EC8"/>
    <w:rsid w:val="00CB606F"/>
    <w:rsid w:val="00CB649F"/>
    <w:rsid w:val="00CB664B"/>
    <w:rsid w:val="00CB6D11"/>
    <w:rsid w:val="00CB6D38"/>
    <w:rsid w:val="00CB7E92"/>
    <w:rsid w:val="00CC05A0"/>
    <w:rsid w:val="00CC0DD8"/>
    <w:rsid w:val="00CC1328"/>
    <w:rsid w:val="00CC13DE"/>
    <w:rsid w:val="00CC21B6"/>
    <w:rsid w:val="00CC22BE"/>
    <w:rsid w:val="00CC24FF"/>
    <w:rsid w:val="00CC2F32"/>
    <w:rsid w:val="00CC36F8"/>
    <w:rsid w:val="00CC3851"/>
    <w:rsid w:val="00CC3DF2"/>
    <w:rsid w:val="00CC429F"/>
    <w:rsid w:val="00CC4570"/>
    <w:rsid w:val="00CC4934"/>
    <w:rsid w:val="00CC5B65"/>
    <w:rsid w:val="00CC5F88"/>
    <w:rsid w:val="00CC60C6"/>
    <w:rsid w:val="00CC623F"/>
    <w:rsid w:val="00CC6B91"/>
    <w:rsid w:val="00CC703D"/>
    <w:rsid w:val="00CC75AC"/>
    <w:rsid w:val="00CC7F17"/>
    <w:rsid w:val="00CD068C"/>
    <w:rsid w:val="00CD08ED"/>
    <w:rsid w:val="00CD197B"/>
    <w:rsid w:val="00CD1E55"/>
    <w:rsid w:val="00CD1EAC"/>
    <w:rsid w:val="00CD2078"/>
    <w:rsid w:val="00CD2D78"/>
    <w:rsid w:val="00CD4296"/>
    <w:rsid w:val="00CD42A9"/>
    <w:rsid w:val="00CD4B6F"/>
    <w:rsid w:val="00CD4EC6"/>
    <w:rsid w:val="00CD5859"/>
    <w:rsid w:val="00CD60B8"/>
    <w:rsid w:val="00CD60DD"/>
    <w:rsid w:val="00CD646C"/>
    <w:rsid w:val="00CD6E35"/>
    <w:rsid w:val="00CD765C"/>
    <w:rsid w:val="00CE0502"/>
    <w:rsid w:val="00CE07D4"/>
    <w:rsid w:val="00CE092B"/>
    <w:rsid w:val="00CE11C2"/>
    <w:rsid w:val="00CE12AD"/>
    <w:rsid w:val="00CE22EC"/>
    <w:rsid w:val="00CE23DE"/>
    <w:rsid w:val="00CE2A60"/>
    <w:rsid w:val="00CE337C"/>
    <w:rsid w:val="00CE34C7"/>
    <w:rsid w:val="00CE3587"/>
    <w:rsid w:val="00CE38E2"/>
    <w:rsid w:val="00CE4477"/>
    <w:rsid w:val="00CE44E5"/>
    <w:rsid w:val="00CE451C"/>
    <w:rsid w:val="00CE465E"/>
    <w:rsid w:val="00CE4797"/>
    <w:rsid w:val="00CE4842"/>
    <w:rsid w:val="00CE5CC5"/>
    <w:rsid w:val="00CE6543"/>
    <w:rsid w:val="00CE6E69"/>
    <w:rsid w:val="00CE6FC9"/>
    <w:rsid w:val="00CE702A"/>
    <w:rsid w:val="00CE728A"/>
    <w:rsid w:val="00CE72EF"/>
    <w:rsid w:val="00CE7D52"/>
    <w:rsid w:val="00CF02F0"/>
    <w:rsid w:val="00CF1018"/>
    <w:rsid w:val="00CF10F8"/>
    <w:rsid w:val="00CF24BE"/>
    <w:rsid w:val="00CF2735"/>
    <w:rsid w:val="00CF28D0"/>
    <w:rsid w:val="00CF2A25"/>
    <w:rsid w:val="00CF331E"/>
    <w:rsid w:val="00CF3758"/>
    <w:rsid w:val="00CF3A41"/>
    <w:rsid w:val="00CF3F6D"/>
    <w:rsid w:val="00CF4C42"/>
    <w:rsid w:val="00CF519A"/>
    <w:rsid w:val="00CF530D"/>
    <w:rsid w:val="00CF5842"/>
    <w:rsid w:val="00CF5E1B"/>
    <w:rsid w:val="00CF608B"/>
    <w:rsid w:val="00CF71F7"/>
    <w:rsid w:val="00D000B6"/>
    <w:rsid w:val="00D00EA5"/>
    <w:rsid w:val="00D00F15"/>
    <w:rsid w:val="00D01708"/>
    <w:rsid w:val="00D021FD"/>
    <w:rsid w:val="00D03187"/>
    <w:rsid w:val="00D03FCC"/>
    <w:rsid w:val="00D05192"/>
    <w:rsid w:val="00D054A6"/>
    <w:rsid w:val="00D05D92"/>
    <w:rsid w:val="00D05FFD"/>
    <w:rsid w:val="00D068EE"/>
    <w:rsid w:val="00D07D2A"/>
    <w:rsid w:val="00D10075"/>
    <w:rsid w:val="00D116D8"/>
    <w:rsid w:val="00D12206"/>
    <w:rsid w:val="00D1317B"/>
    <w:rsid w:val="00D13452"/>
    <w:rsid w:val="00D1388C"/>
    <w:rsid w:val="00D14C1C"/>
    <w:rsid w:val="00D1514C"/>
    <w:rsid w:val="00D15773"/>
    <w:rsid w:val="00D16222"/>
    <w:rsid w:val="00D16243"/>
    <w:rsid w:val="00D16E3C"/>
    <w:rsid w:val="00D17661"/>
    <w:rsid w:val="00D1799F"/>
    <w:rsid w:val="00D17A92"/>
    <w:rsid w:val="00D17DCC"/>
    <w:rsid w:val="00D2030C"/>
    <w:rsid w:val="00D2074A"/>
    <w:rsid w:val="00D20F21"/>
    <w:rsid w:val="00D21973"/>
    <w:rsid w:val="00D21A4F"/>
    <w:rsid w:val="00D21EB1"/>
    <w:rsid w:val="00D224F8"/>
    <w:rsid w:val="00D22BBF"/>
    <w:rsid w:val="00D236DB"/>
    <w:rsid w:val="00D23CC7"/>
    <w:rsid w:val="00D2407A"/>
    <w:rsid w:val="00D241BA"/>
    <w:rsid w:val="00D2466C"/>
    <w:rsid w:val="00D251F1"/>
    <w:rsid w:val="00D25836"/>
    <w:rsid w:val="00D260B2"/>
    <w:rsid w:val="00D26619"/>
    <w:rsid w:val="00D26BA3"/>
    <w:rsid w:val="00D306EE"/>
    <w:rsid w:val="00D30825"/>
    <w:rsid w:val="00D30E27"/>
    <w:rsid w:val="00D312ED"/>
    <w:rsid w:val="00D323EC"/>
    <w:rsid w:val="00D32CDA"/>
    <w:rsid w:val="00D332E9"/>
    <w:rsid w:val="00D33777"/>
    <w:rsid w:val="00D33814"/>
    <w:rsid w:val="00D3398B"/>
    <w:rsid w:val="00D33BA1"/>
    <w:rsid w:val="00D34720"/>
    <w:rsid w:val="00D353F0"/>
    <w:rsid w:val="00D35D6F"/>
    <w:rsid w:val="00D367F4"/>
    <w:rsid w:val="00D37291"/>
    <w:rsid w:val="00D40698"/>
    <w:rsid w:val="00D40D9D"/>
    <w:rsid w:val="00D40EB3"/>
    <w:rsid w:val="00D41150"/>
    <w:rsid w:val="00D414C5"/>
    <w:rsid w:val="00D4178E"/>
    <w:rsid w:val="00D42C5F"/>
    <w:rsid w:val="00D43596"/>
    <w:rsid w:val="00D43A83"/>
    <w:rsid w:val="00D44123"/>
    <w:rsid w:val="00D44AB7"/>
    <w:rsid w:val="00D44BBC"/>
    <w:rsid w:val="00D45690"/>
    <w:rsid w:val="00D4590D"/>
    <w:rsid w:val="00D4594F"/>
    <w:rsid w:val="00D45CFE"/>
    <w:rsid w:val="00D466B7"/>
    <w:rsid w:val="00D46A23"/>
    <w:rsid w:val="00D46A56"/>
    <w:rsid w:val="00D478DD"/>
    <w:rsid w:val="00D50AC6"/>
    <w:rsid w:val="00D51054"/>
    <w:rsid w:val="00D51804"/>
    <w:rsid w:val="00D51E12"/>
    <w:rsid w:val="00D52205"/>
    <w:rsid w:val="00D52C7B"/>
    <w:rsid w:val="00D53236"/>
    <w:rsid w:val="00D5326D"/>
    <w:rsid w:val="00D53324"/>
    <w:rsid w:val="00D539A9"/>
    <w:rsid w:val="00D54412"/>
    <w:rsid w:val="00D54D70"/>
    <w:rsid w:val="00D550A0"/>
    <w:rsid w:val="00D558E4"/>
    <w:rsid w:val="00D56EC0"/>
    <w:rsid w:val="00D5730B"/>
    <w:rsid w:val="00D5741D"/>
    <w:rsid w:val="00D61D33"/>
    <w:rsid w:val="00D62BE8"/>
    <w:rsid w:val="00D62FA1"/>
    <w:rsid w:val="00D64329"/>
    <w:rsid w:val="00D64417"/>
    <w:rsid w:val="00D64975"/>
    <w:rsid w:val="00D64F46"/>
    <w:rsid w:val="00D65554"/>
    <w:rsid w:val="00D657E6"/>
    <w:rsid w:val="00D658D7"/>
    <w:rsid w:val="00D65F87"/>
    <w:rsid w:val="00D66011"/>
    <w:rsid w:val="00D66429"/>
    <w:rsid w:val="00D66D81"/>
    <w:rsid w:val="00D66DDE"/>
    <w:rsid w:val="00D672B8"/>
    <w:rsid w:val="00D67870"/>
    <w:rsid w:val="00D67935"/>
    <w:rsid w:val="00D67CA1"/>
    <w:rsid w:val="00D700D6"/>
    <w:rsid w:val="00D70824"/>
    <w:rsid w:val="00D70978"/>
    <w:rsid w:val="00D7111C"/>
    <w:rsid w:val="00D71F85"/>
    <w:rsid w:val="00D72280"/>
    <w:rsid w:val="00D7244E"/>
    <w:rsid w:val="00D7254B"/>
    <w:rsid w:val="00D7333C"/>
    <w:rsid w:val="00D73449"/>
    <w:rsid w:val="00D748F9"/>
    <w:rsid w:val="00D74A98"/>
    <w:rsid w:val="00D75669"/>
    <w:rsid w:val="00D75D14"/>
    <w:rsid w:val="00D76CE0"/>
    <w:rsid w:val="00D77610"/>
    <w:rsid w:val="00D77DA5"/>
    <w:rsid w:val="00D805B7"/>
    <w:rsid w:val="00D80766"/>
    <w:rsid w:val="00D80788"/>
    <w:rsid w:val="00D80BA7"/>
    <w:rsid w:val="00D80BA8"/>
    <w:rsid w:val="00D80C66"/>
    <w:rsid w:val="00D80FB0"/>
    <w:rsid w:val="00D816CD"/>
    <w:rsid w:val="00D81E5B"/>
    <w:rsid w:val="00D825A5"/>
    <w:rsid w:val="00D8286C"/>
    <w:rsid w:val="00D82AE6"/>
    <w:rsid w:val="00D835FE"/>
    <w:rsid w:val="00D8469D"/>
    <w:rsid w:val="00D84874"/>
    <w:rsid w:val="00D848C2"/>
    <w:rsid w:val="00D84FF3"/>
    <w:rsid w:val="00D8537F"/>
    <w:rsid w:val="00D857D6"/>
    <w:rsid w:val="00D86564"/>
    <w:rsid w:val="00D90324"/>
    <w:rsid w:val="00D9086D"/>
    <w:rsid w:val="00D90C30"/>
    <w:rsid w:val="00D90F02"/>
    <w:rsid w:val="00D91A43"/>
    <w:rsid w:val="00D93B90"/>
    <w:rsid w:val="00D9418F"/>
    <w:rsid w:val="00D94D66"/>
    <w:rsid w:val="00D94E6E"/>
    <w:rsid w:val="00D950F3"/>
    <w:rsid w:val="00D9534B"/>
    <w:rsid w:val="00D955A4"/>
    <w:rsid w:val="00D9646F"/>
    <w:rsid w:val="00D96750"/>
    <w:rsid w:val="00D96D78"/>
    <w:rsid w:val="00D9777A"/>
    <w:rsid w:val="00DA03CF"/>
    <w:rsid w:val="00DA0780"/>
    <w:rsid w:val="00DA0E1B"/>
    <w:rsid w:val="00DA0EFE"/>
    <w:rsid w:val="00DA1011"/>
    <w:rsid w:val="00DA137D"/>
    <w:rsid w:val="00DA13A7"/>
    <w:rsid w:val="00DA1540"/>
    <w:rsid w:val="00DA156D"/>
    <w:rsid w:val="00DA1C56"/>
    <w:rsid w:val="00DA1FE1"/>
    <w:rsid w:val="00DA341C"/>
    <w:rsid w:val="00DA3472"/>
    <w:rsid w:val="00DA35ED"/>
    <w:rsid w:val="00DA4483"/>
    <w:rsid w:val="00DA4D19"/>
    <w:rsid w:val="00DA5358"/>
    <w:rsid w:val="00DA56B8"/>
    <w:rsid w:val="00DA56E7"/>
    <w:rsid w:val="00DA5DFE"/>
    <w:rsid w:val="00DA5E07"/>
    <w:rsid w:val="00DA60F2"/>
    <w:rsid w:val="00DA66AF"/>
    <w:rsid w:val="00DA6CC6"/>
    <w:rsid w:val="00DB014F"/>
    <w:rsid w:val="00DB02E4"/>
    <w:rsid w:val="00DB1488"/>
    <w:rsid w:val="00DB14A9"/>
    <w:rsid w:val="00DB1D80"/>
    <w:rsid w:val="00DB20C8"/>
    <w:rsid w:val="00DB232D"/>
    <w:rsid w:val="00DB28E7"/>
    <w:rsid w:val="00DB2A40"/>
    <w:rsid w:val="00DB2DF8"/>
    <w:rsid w:val="00DB3059"/>
    <w:rsid w:val="00DB33DC"/>
    <w:rsid w:val="00DB3661"/>
    <w:rsid w:val="00DB3A47"/>
    <w:rsid w:val="00DB510B"/>
    <w:rsid w:val="00DB59F1"/>
    <w:rsid w:val="00DB5D97"/>
    <w:rsid w:val="00DB5EEF"/>
    <w:rsid w:val="00DB5FF4"/>
    <w:rsid w:val="00DB6865"/>
    <w:rsid w:val="00DB6ADB"/>
    <w:rsid w:val="00DB6EB7"/>
    <w:rsid w:val="00DC0036"/>
    <w:rsid w:val="00DC01C7"/>
    <w:rsid w:val="00DC12C8"/>
    <w:rsid w:val="00DC1EB7"/>
    <w:rsid w:val="00DC460D"/>
    <w:rsid w:val="00DC46EE"/>
    <w:rsid w:val="00DC4CB4"/>
    <w:rsid w:val="00DC511C"/>
    <w:rsid w:val="00DC5284"/>
    <w:rsid w:val="00DC6B9C"/>
    <w:rsid w:val="00DC6C61"/>
    <w:rsid w:val="00DC6F3A"/>
    <w:rsid w:val="00DC7BAB"/>
    <w:rsid w:val="00DC7EF3"/>
    <w:rsid w:val="00DD02E6"/>
    <w:rsid w:val="00DD0733"/>
    <w:rsid w:val="00DD09F1"/>
    <w:rsid w:val="00DD0F33"/>
    <w:rsid w:val="00DD0FE4"/>
    <w:rsid w:val="00DD109D"/>
    <w:rsid w:val="00DD10D7"/>
    <w:rsid w:val="00DD1CD2"/>
    <w:rsid w:val="00DD1E81"/>
    <w:rsid w:val="00DD2316"/>
    <w:rsid w:val="00DD2C47"/>
    <w:rsid w:val="00DD2EBC"/>
    <w:rsid w:val="00DD31F4"/>
    <w:rsid w:val="00DD38C4"/>
    <w:rsid w:val="00DD3D09"/>
    <w:rsid w:val="00DD4B0E"/>
    <w:rsid w:val="00DD75E3"/>
    <w:rsid w:val="00DD7B09"/>
    <w:rsid w:val="00DD7C59"/>
    <w:rsid w:val="00DE02B1"/>
    <w:rsid w:val="00DE0EE6"/>
    <w:rsid w:val="00DE1001"/>
    <w:rsid w:val="00DE13D2"/>
    <w:rsid w:val="00DE145D"/>
    <w:rsid w:val="00DE2121"/>
    <w:rsid w:val="00DE296D"/>
    <w:rsid w:val="00DE2B4F"/>
    <w:rsid w:val="00DE2C86"/>
    <w:rsid w:val="00DE2F25"/>
    <w:rsid w:val="00DE34FC"/>
    <w:rsid w:val="00DE3E44"/>
    <w:rsid w:val="00DE3FF6"/>
    <w:rsid w:val="00DE40BD"/>
    <w:rsid w:val="00DE44B0"/>
    <w:rsid w:val="00DE4526"/>
    <w:rsid w:val="00DE4FAE"/>
    <w:rsid w:val="00DE608D"/>
    <w:rsid w:val="00DE68AD"/>
    <w:rsid w:val="00DE6D0B"/>
    <w:rsid w:val="00DE711F"/>
    <w:rsid w:val="00DF09FD"/>
    <w:rsid w:val="00DF0E91"/>
    <w:rsid w:val="00DF12B5"/>
    <w:rsid w:val="00DF19AF"/>
    <w:rsid w:val="00DF2025"/>
    <w:rsid w:val="00DF2174"/>
    <w:rsid w:val="00DF2886"/>
    <w:rsid w:val="00DF2BEF"/>
    <w:rsid w:val="00DF35CC"/>
    <w:rsid w:val="00DF35E3"/>
    <w:rsid w:val="00DF39AA"/>
    <w:rsid w:val="00DF3ABC"/>
    <w:rsid w:val="00DF4405"/>
    <w:rsid w:val="00DF44B4"/>
    <w:rsid w:val="00DF461A"/>
    <w:rsid w:val="00DF496E"/>
    <w:rsid w:val="00DF5974"/>
    <w:rsid w:val="00DF6B9E"/>
    <w:rsid w:val="00DF795A"/>
    <w:rsid w:val="00E01358"/>
    <w:rsid w:val="00E0158E"/>
    <w:rsid w:val="00E01A01"/>
    <w:rsid w:val="00E01A36"/>
    <w:rsid w:val="00E01F3D"/>
    <w:rsid w:val="00E01F8A"/>
    <w:rsid w:val="00E020F9"/>
    <w:rsid w:val="00E033CB"/>
    <w:rsid w:val="00E04752"/>
    <w:rsid w:val="00E049D7"/>
    <w:rsid w:val="00E04AA5"/>
    <w:rsid w:val="00E04D60"/>
    <w:rsid w:val="00E053C8"/>
    <w:rsid w:val="00E05566"/>
    <w:rsid w:val="00E05DE4"/>
    <w:rsid w:val="00E06828"/>
    <w:rsid w:val="00E06E4E"/>
    <w:rsid w:val="00E0734F"/>
    <w:rsid w:val="00E079C7"/>
    <w:rsid w:val="00E07BD9"/>
    <w:rsid w:val="00E07BE8"/>
    <w:rsid w:val="00E07D03"/>
    <w:rsid w:val="00E100B2"/>
    <w:rsid w:val="00E102F6"/>
    <w:rsid w:val="00E1053C"/>
    <w:rsid w:val="00E1081A"/>
    <w:rsid w:val="00E110D7"/>
    <w:rsid w:val="00E113E9"/>
    <w:rsid w:val="00E1327C"/>
    <w:rsid w:val="00E14167"/>
    <w:rsid w:val="00E1429E"/>
    <w:rsid w:val="00E146F2"/>
    <w:rsid w:val="00E14CEB"/>
    <w:rsid w:val="00E15101"/>
    <w:rsid w:val="00E15291"/>
    <w:rsid w:val="00E15E21"/>
    <w:rsid w:val="00E17870"/>
    <w:rsid w:val="00E17D47"/>
    <w:rsid w:val="00E17E78"/>
    <w:rsid w:val="00E20466"/>
    <w:rsid w:val="00E20B71"/>
    <w:rsid w:val="00E20DF7"/>
    <w:rsid w:val="00E21B37"/>
    <w:rsid w:val="00E21B41"/>
    <w:rsid w:val="00E21D4C"/>
    <w:rsid w:val="00E22321"/>
    <w:rsid w:val="00E225F3"/>
    <w:rsid w:val="00E226B2"/>
    <w:rsid w:val="00E229DE"/>
    <w:rsid w:val="00E22BFE"/>
    <w:rsid w:val="00E23322"/>
    <w:rsid w:val="00E236D1"/>
    <w:rsid w:val="00E23B89"/>
    <w:rsid w:val="00E24140"/>
    <w:rsid w:val="00E24A71"/>
    <w:rsid w:val="00E24BD7"/>
    <w:rsid w:val="00E24C99"/>
    <w:rsid w:val="00E25121"/>
    <w:rsid w:val="00E259BC"/>
    <w:rsid w:val="00E25C61"/>
    <w:rsid w:val="00E26AC9"/>
    <w:rsid w:val="00E26F51"/>
    <w:rsid w:val="00E2789B"/>
    <w:rsid w:val="00E27C61"/>
    <w:rsid w:val="00E27D93"/>
    <w:rsid w:val="00E27F67"/>
    <w:rsid w:val="00E3177D"/>
    <w:rsid w:val="00E3193B"/>
    <w:rsid w:val="00E31FA7"/>
    <w:rsid w:val="00E3292F"/>
    <w:rsid w:val="00E332C8"/>
    <w:rsid w:val="00E3374D"/>
    <w:rsid w:val="00E337F9"/>
    <w:rsid w:val="00E34476"/>
    <w:rsid w:val="00E34B86"/>
    <w:rsid w:val="00E35F21"/>
    <w:rsid w:val="00E36466"/>
    <w:rsid w:val="00E3647B"/>
    <w:rsid w:val="00E36AB6"/>
    <w:rsid w:val="00E37E40"/>
    <w:rsid w:val="00E423CF"/>
    <w:rsid w:val="00E4365B"/>
    <w:rsid w:val="00E438FB"/>
    <w:rsid w:val="00E43B51"/>
    <w:rsid w:val="00E440A7"/>
    <w:rsid w:val="00E4431C"/>
    <w:rsid w:val="00E446DF"/>
    <w:rsid w:val="00E44754"/>
    <w:rsid w:val="00E44B93"/>
    <w:rsid w:val="00E45AF1"/>
    <w:rsid w:val="00E45B71"/>
    <w:rsid w:val="00E46B04"/>
    <w:rsid w:val="00E4701E"/>
    <w:rsid w:val="00E47672"/>
    <w:rsid w:val="00E4777C"/>
    <w:rsid w:val="00E511BC"/>
    <w:rsid w:val="00E52482"/>
    <w:rsid w:val="00E52506"/>
    <w:rsid w:val="00E52A77"/>
    <w:rsid w:val="00E52DF1"/>
    <w:rsid w:val="00E531A1"/>
    <w:rsid w:val="00E53442"/>
    <w:rsid w:val="00E53D97"/>
    <w:rsid w:val="00E54218"/>
    <w:rsid w:val="00E547FA"/>
    <w:rsid w:val="00E54B3C"/>
    <w:rsid w:val="00E54CFB"/>
    <w:rsid w:val="00E56C46"/>
    <w:rsid w:val="00E57920"/>
    <w:rsid w:val="00E6067F"/>
    <w:rsid w:val="00E6071A"/>
    <w:rsid w:val="00E61514"/>
    <w:rsid w:val="00E61606"/>
    <w:rsid w:val="00E62255"/>
    <w:rsid w:val="00E629E4"/>
    <w:rsid w:val="00E632C5"/>
    <w:rsid w:val="00E6452C"/>
    <w:rsid w:val="00E646DD"/>
    <w:rsid w:val="00E64C24"/>
    <w:rsid w:val="00E65016"/>
    <w:rsid w:val="00E652AD"/>
    <w:rsid w:val="00E6594C"/>
    <w:rsid w:val="00E6611D"/>
    <w:rsid w:val="00E6632D"/>
    <w:rsid w:val="00E664D6"/>
    <w:rsid w:val="00E669D2"/>
    <w:rsid w:val="00E66C5A"/>
    <w:rsid w:val="00E70089"/>
    <w:rsid w:val="00E702FA"/>
    <w:rsid w:val="00E70D4B"/>
    <w:rsid w:val="00E70E3E"/>
    <w:rsid w:val="00E71E86"/>
    <w:rsid w:val="00E7220D"/>
    <w:rsid w:val="00E72389"/>
    <w:rsid w:val="00E724A5"/>
    <w:rsid w:val="00E72E09"/>
    <w:rsid w:val="00E73052"/>
    <w:rsid w:val="00E7334D"/>
    <w:rsid w:val="00E7359D"/>
    <w:rsid w:val="00E74A40"/>
    <w:rsid w:val="00E75222"/>
    <w:rsid w:val="00E75492"/>
    <w:rsid w:val="00E75F36"/>
    <w:rsid w:val="00E76203"/>
    <w:rsid w:val="00E769EB"/>
    <w:rsid w:val="00E778BE"/>
    <w:rsid w:val="00E7799C"/>
    <w:rsid w:val="00E80738"/>
    <w:rsid w:val="00E8094E"/>
    <w:rsid w:val="00E812D8"/>
    <w:rsid w:val="00E81B07"/>
    <w:rsid w:val="00E81B49"/>
    <w:rsid w:val="00E820AA"/>
    <w:rsid w:val="00E8255E"/>
    <w:rsid w:val="00E825E2"/>
    <w:rsid w:val="00E829FD"/>
    <w:rsid w:val="00E83346"/>
    <w:rsid w:val="00E835B7"/>
    <w:rsid w:val="00E83B7C"/>
    <w:rsid w:val="00E83DFC"/>
    <w:rsid w:val="00E8417A"/>
    <w:rsid w:val="00E84239"/>
    <w:rsid w:val="00E84648"/>
    <w:rsid w:val="00E84817"/>
    <w:rsid w:val="00E85014"/>
    <w:rsid w:val="00E853EB"/>
    <w:rsid w:val="00E85470"/>
    <w:rsid w:val="00E85831"/>
    <w:rsid w:val="00E85ECC"/>
    <w:rsid w:val="00E85FB1"/>
    <w:rsid w:val="00E8606E"/>
    <w:rsid w:val="00E8621D"/>
    <w:rsid w:val="00E8624C"/>
    <w:rsid w:val="00E86FFA"/>
    <w:rsid w:val="00E87682"/>
    <w:rsid w:val="00E900ED"/>
    <w:rsid w:val="00E9018A"/>
    <w:rsid w:val="00E9063E"/>
    <w:rsid w:val="00E9068B"/>
    <w:rsid w:val="00E908BD"/>
    <w:rsid w:val="00E90DAE"/>
    <w:rsid w:val="00E9152E"/>
    <w:rsid w:val="00E9155D"/>
    <w:rsid w:val="00E915B2"/>
    <w:rsid w:val="00E91A7C"/>
    <w:rsid w:val="00E91DF7"/>
    <w:rsid w:val="00E92345"/>
    <w:rsid w:val="00E93BA3"/>
    <w:rsid w:val="00E94864"/>
    <w:rsid w:val="00E94ABB"/>
    <w:rsid w:val="00E9503F"/>
    <w:rsid w:val="00E95508"/>
    <w:rsid w:val="00E956ED"/>
    <w:rsid w:val="00E95932"/>
    <w:rsid w:val="00E961F1"/>
    <w:rsid w:val="00E96D04"/>
    <w:rsid w:val="00E979B8"/>
    <w:rsid w:val="00EA00D3"/>
    <w:rsid w:val="00EA0193"/>
    <w:rsid w:val="00EA01B6"/>
    <w:rsid w:val="00EA02C1"/>
    <w:rsid w:val="00EA0CD5"/>
    <w:rsid w:val="00EA11D4"/>
    <w:rsid w:val="00EA1DDB"/>
    <w:rsid w:val="00EA3BD1"/>
    <w:rsid w:val="00EA4A90"/>
    <w:rsid w:val="00EA4CA0"/>
    <w:rsid w:val="00EA5519"/>
    <w:rsid w:val="00EA564B"/>
    <w:rsid w:val="00EA5A10"/>
    <w:rsid w:val="00EA5D99"/>
    <w:rsid w:val="00EA6573"/>
    <w:rsid w:val="00EA6766"/>
    <w:rsid w:val="00EA7101"/>
    <w:rsid w:val="00EA721E"/>
    <w:rsid w:val="00EA76BB"/>
    <w:rsid w:val="00EB0372"/>
    <w:rsid w:val="00EB09FA"/>
    <w:rsid w:val="00EB1603"/>
    <w:rsid w:val="00EB1B60"/>
    <w:rsid w:val="00EB2B57"/>
    <w:rsid w:val="00EB2D27"/>
    <w:rsid w:val="00EB3FC9"/>
    <w:rsid w:val="00EB461E"/>
    <w:rsid w:val="00EB4C10"/>
    <w:rsid w:val="00EB6345"/>
    <w:rsid w:val="00EC0C6D"/>
    <w:rsid w:val="00EC0D53"/>
    <w:rsid w:val="00EC109F"/>
    <w:rsid w:val="00EC116E"/>
    <w:rsid w:val="00EC1944"/>
    <w:rsid w:val="00EC1B64"/>
    <w:rsid w:val="00EC2047"/>
    <w:rsid w:val="00EC21D7"/>
    <w:rsid w:val="00EC2B30"/>
    <w:rsid w:val="00EC2E6D"/>
    <w:rsid w:val="00EC32CA"/>
    <w:rsid w:val="00EC403C"/>
    <w:rsid w:val="00EC4180"/>
    <w:rsid w:val="00EC4552"/>
    <w:rsid w:val="00EC4678"/>
    <w:rsid w:val="00EC4FD5"/>
    <w:rsid w:val="00EC5419"/>
    <w:rsid w:val="00EC595A"/>
    <w:rsid w:val="00EC5AE8"/>
    <w:rsid w:val="00EC5BD3"/>
    <w:rsid w:val="00EC6F73"/>
    <w:rsid w:val="00EC7442"/>
    <w:rsid w:val="00EC7AC1"/>
    <w:rsid w:val="00EC7B9D"/>
    <w:rsid w:val="00EC7D9E"/>
    <w:rsid w:val="00EC7E38"/>
    <w:rsid w:val="00ED0526"/>
    <w:rsid w:val="00ED0AF1"/>
    <w:rsid w:val="00ED15DC"/>
    <w:rsid w:val="00ED1650"/>
    <w:rsid w:val="00ED18F4"/>
    <w:rsid w:val="00ED2132"/>
    <w:rsid w:val="00ED21CA"/>
    <w:rsid w:val="00ED220E"/>
    <w:rsid w:val="00ED256B"/>
    <w:rsid w:val="00ED3826"/>
    <w:rsid w:val="00ED3E49"/>
    <w:rsid w:val="00ED42C6"/>
    <w:rsid w:val="00ED592A"/>
    <w:rsid w:val="00ED5E40"/>
    <w:rsid w:val="00ED68D8"/>
    <w:rsid w:val="00ED6A83"/>
    <w:rsid w:val="00ED6AAD"/>
    <w:rsid w:val="00ED6C8C"/>
    <w:rsid w:val="00ED71DD"/>
    <w:rsid w:val="00ED7E0F"/>
    <w:rsid w:val="00ED7F39"/>
    <w:rsid w:val="00EE006C"/>
    <w:rsid w:val="00EE0E3C"/>
    <w:rsid w:val="00EE1249"/>
    <w:rsid w:val="00EE2457"/>
    <w:rsid w:val="00EE26E6"/>
    <w:rsid w:val="00EE2BFA"/>
    <w:rsid w:val="00EE2C95"/>
    <w:rsid w:val="00EE3C32"/>
    <w:rsid w:val="00EE3E80"/>
    <w:rsid w:val="00EE45FD"/>
    <w:rsid w:val="00EE5192"/>
    <w:rsid w:val="00EE5672"/>
    <w:rsid w:val="00EE5E60"/>
    <w:rsid w:val="00EE638A"/>
    <w:rsid w:val="00EE6AEE"/>
    <w:rsid w:val="00EE6E01"/>
    <w:rsid w:val="00EE73CB"/>
    <w:rsid w:val="00EE7601"/>
    <w:rsid w:val="00EE7897"/>
    <w:rsid w:val="00EE7F1C"/>
    <w:rsid w:val="00EF0050"/>
    <w:rsid w:val="00EF06AB"/>
    <w:rsid w:val="00EF0E08"/>
    <w:rsid w:val="00EF242F"/>
    <w:rsid w:val="00EF2464"/>
    <w:rsid w:val="00EF28EF"/>
    <w:rsid w:val="00EF2907"/>
    <w:rsid w:val="00EF2E73"/>
    <w:rsid w:val="00EF334A"/>
    <w:rsid w:val="00EF3A88"/>
    <w:rsid w:val="00EF4203"/>
    <w:rsid w:val="00EF4400"/>
    <w:rsid w:val="00EF45C5"/>
    <w:rsid w:val="00EF4A2B"/>
    <w:rsid w:val="00EF4BBD"/>
    <w:rsid w:val="00EF5242"/>
    <w:rsid w:val="00EF5445"/>
    <w:rsid w:val="00EF5A09"/>
    <w:rsid w:val="00EF61BF"/>
    <w:rsid w:val="00EF61E5"/>
    <w:rsid w:val="00EF649C"/>
    <w:rsid w:val="00EF652D"/>
    <w:rsid w:val="00EF656F"/>
    <w:rsid w:val="00EF6930"/>
    <w:rsid w:val="00EF7470"/>
    <w:rsid w:val="00EF7B78"/>
    <w:rsid w:val="00F0001A"/>
    <w:rsid w:val="00F01E64"/>
    <w:rsid w:val="00F02072"/>
    <w:rsid w:val="00F023BA"/>
    <w:rsid w:val="00F02DD5"/>
    <w:rsid w:val="00F02F4E"/>
    <w:rsid w:val="00F030C4"/>
    <w:rsid w:val="00F03737"/>
    <w:rsid w:val="00F038EF"/>
    <w:rsid w:val="00F039D7"/>
    <w:rsid w:val="00F03ACE"/>
    <w:rsid w:val="00F03ADC"/>
    <w:rsid w:val="00F03DAE"/>
    <w:rsid w:val="00F047B7"/>
    <w:rsid w:val="00F04A78"/>
    <w:rsid w:val="00F04F5B"/>
    <w:rsid w:val="00F059F3"/>
    <w:rsid w:val="00F05C99"/>
    <w:rsid w:val="00F0642A"/>
    <w:rsid w:val="00F10118"/>
    <w:rsid w:val="00F10146"/>
    <w:rsid w:val="00F10665"/>
    <w:rsid w:val="00F10A62"/>
    <w:rsid w:val="00F10F53"/>
    <w:rsid w:val="00F1114B"/>
    <w:rsid w:val="00F12B18"/>
    <w:rsid w:val="00F12E3E"/>
    <w:rsid w:val="00F13048"/>
    <w:rsid w:val="00F13B60"/>
    <w:rsid w:val="00F13B94"/>
    <w:rsid w:val="00F13FE3"/>
    <w:rsid w:val="00F1413B"/>
    <w:rsid w:val="00F14275"/>
    <w:rsid w:val="00F14366"/>
    <w:rsid w:val="00F1441F"/>
    <w:rsid w:val="00F154B1"/>
    <w:rsid w:val="00F15EC7"/>
    <w:rsid w:val="00F162FC"/>
    <w:rsid w:val="00F1774A"/>
    <w:rsid w:val="00F17B48"/>
    <w:rsid w:val="00F20FF2"/>
    <w:rsid w:val="00F2101C"/>
    <w:rsid w:val="00F218BE"/>
    <w:rsid w:val="00F21D49"/>
    <w:rsid w:val="00F224A3"/>
    <w:rsid w:val="00F23F82"/>
    <w:rsid w:val="00F2476D"/>
    <w:rsid w:val="00F24ACB"/>
    <w:rsid w:val="00F24EC5"/>
    <w:rsid w:val="00F26C4C"/>
    <w:rsid w:val="00F26C7D"/>
    <w:rsid w:val="00F27430"/>
    <w:rsid w:val="00F301B7"/>
    <w:rsid w:val="00F30360"/>
    <w:rsid w:val="00F30E85"/>
    <w:rsid w:val="00F31D31"/>
    <w:rsid w:val="00F32A87"/>
    <w:rsid w:val="00F32B30"/>
    <w:rsid w:val="00F32C62"/>
    <w:rsid w:val="00F32C6B"/>
    <w:rsid w:val="00F32CFA"/>
    <w:rsid w:val="00F32DB0"/>
    <w:rsid w:val="00F33F42"/>
    <w:rsid w:val="00F3451B"/>
    <w:rsid w:val="00F34784"/>
    <w:rsid w:val="00F35F15"/>
    <w:rsid w:val="00F36A98"/>
    <w:rsid w:val="00F36E65"/>
    <w:rsid w:val="00F37A7D"/>
    <w:rsid w:val="00F401D0"/>
    <w:rsid w:val="00F402B8"/>
    <w:rsid w:val="00F40872"/>
    <w:rsid w:val="00F4119A"/>
    <w:rsid w:val="00F41473"/>
    <w:rsid w:val="00F41B53"/>
    <w:rsid w:val="00F42340"/>
    <w:rsid w:val="00F42752"/>
    <w:rsid w:val="00F428F1"/>
    <w:rsid w:val="00F42B6B"/>
    <w:rsid w:val="00F42B7A"/>
    <w:rsid w:val="00F42F0C"/>
    <w:rsid w:val="00F4419C"/>
    <w:rsid w:val="00F459CE"/>
    <w:rsid w:val="00F467CF"/>
    <w:rsid w:val="00F46A70"/>
    <w:rsid w:val="00F47668"/>
    <w:rsid w:val="00F47DED"/>
    <w:rsid w:val="00F50243"/>
    <w:rsid w:val="00F50BB7"/>
    <w:rsid w:val="00F50E44"/>
    <w:rsid w:val="00F519F7"/>
    <w:rsid w:val="00F530DC"/>
    <w:rsid w:val="00F53DD9"/>
    <w:rsid w:val="00F544B4"/>
    <w:rsid w:val="00F5477A"/>
    <w:rsid w:val="00F55B15"/>
    <w:rsid w:val="00F56241"/>
    <w:rsid w:val="00F5631A"/>
    <w:rsid w:val="00F567E9"/>
    <w:rsid w:val="00F56846"/>
    <w:rsid w:val="00F56F45"/>
    <w:rsid w:val="00F57481"/>
    <w:rsid w:val="00F609DC"/>
    <w:rsid w:val="00F609FB"/>
    <w:rsid w:val="00F61726"/>
    <w:rsid w:val="00F61A24"/>
    <w:rsid w:val="00F62196"/>
    <w:rsid w:val="00F622EB"/>
    <w:rsid w:val="00F62304"/>
    <w:rsid w:val="00F62486"/>
    <w:rsid w:val="00F62BC5"/>
    <w:rsid w:val="00F62C27"/>
    <w:rsid w:val="00F62D7D"/>
    <w:rsid w:val="00F6332A"/>
    <w:rsid w:val="00F63CAD"/>
    <w:rsid w:val="00F64EF2"/>
    <w:rsid w:val="00F650DB"/>
    <w:rsid w:val="00F65B8E"/>
    <w:rsid w:val="00F65E62"/>
    <w:rsid w:val="00F6646B"/>
    <w:rsid w:val="00F66736"/>
    <w:rsid w:val="00F673BA"/>
    <w:rsid w:val="00F673FA"/>
    <w:rsid w:val="00F675FA"/>
    <w:rsid w:val="00F67A61"/>
    <w:rsid w:val="00F7075E"/>
    <w:rsid w:val="00F70AE2"/>
    <w:rsid w:val="00F71083"/>
    <w:rsid w:val="00F720E6"/>
    <w:rsid w:val="00F72FAC"/>
    <w:rsid w:val="00F73EB5"/>
    <w:rsid w:val="00F7429C"/>
    <w:rsid w:val="00F742DF"/>
    <w:rsid w:val="00F74CF8"/>
    <w:rsid w:val="00F750F3"/>
    <w:rsid w:val="00F7650A"/>
    <w:rsid w:val="00F765BC"/>
    <w:rsid w:val="00F76A32"/>
    <w:rsid w:val="00F770C0"/>
    <w:rsid w:val="00F80ACF"/>
    <w:rsid w:val="00F80D46"/>
    <w:rsid w:val="00F81F88"/>
    <w:rsid w:val="00F820D3"/>
    <w:rsid w:val="00F82171"/>
    <w:rsid w:val="00F828C7"/>
    <w:rsid w:val="00F82ED8"/>
    <w:rsid w:val="00F838B7"/>
    <w:rsid w:val="00F83A40"/>
    <w:rsid w:val="00F83D38"/>
    <w:rsid w:val="00F83EC3"/>
    <w:rsid w:val="00F84286"/>
    <w:rsid w:val="00F851D2"/>
    <w:rsid w:val="00F862BC"/>
    <w:rsid w:val="00F871CB"/>
    <w:rsid w:val="00F87226"/>
    <w:rsid w:val="00F9032F"/>
    <w:rsid w:val="00F903AD"/>
    <w:rsid w:val="00F90B97"/>
    <w:rsid w:val="00F9122B"/>
    <w:rsid w:val="00F92850"/>
    <w:rsid w:val="00F929B3"/>
    <w:rsid w:val="00F930EA"/>
    <w:rsid w:val="00F94632"/>
    <w:rsid w:val="00F94F4E"/>
    <w:rsid w:val="00F953B5"/>
    <w:rsid w:val="00F972DD"/>
    <w:rsid w:val="00F972F0"/>
    <w:rsid w:val="00F972FA"/>
    <w:rsid w:val="00F97A67"/>
    <w:rsid w:val="00F97C22"/>
    <w:rsid w:val="00FA02C9"/>
    <w:rsid w:val="00FA0AA3"/>
    <w:rsid w:val="00FA12FC"/>
    <w:rsid w:val="00FA1D92"/>
    <w:rsid w:val="00FA255D"/>
    <w:rsid w:val="00FA2883"/>
    <w:rsid w:val="00FA2B15"/>
    <w:rsid w:val="00FA37BD"/>
    <w:rsid w:val="00FA4DFA"/>
    <w:rsid w:val="00FA5022"/>
    <w:rsid w:val="00FA55C8"/>
    <w:rsid w:val="00FA584C"/>
    <w:rsid w:val="00FA6E1A"/>
    <w:rsid w:val="00FA7285"/>
    <w:rsid w:val="00FA758C"/>
    <w:rsid w:val="00FA7844"/>
    <w:rsid w:val="00FA78B2"/>
    <w:rsid w:val="00FA7B90"/>
    <w:rsid w:val="00FB037F"/>
    <w:rsid w:val="00FB1748"/>
    <w:rsid w:val="00FB1FBD"/>
    <w:rsid w:val="00FB33DC"/>
    <w:rsid w:val="00FB3AD2"/>
    <w:rsid w:val="00FB3FFE"/>
    <w:rsid w:val="00FB6D9F"/>
    <w:rsid w:val="00FB7F01"/>
    <w:rsid w:val="00FC007B"/>
    <w:rsid w:val="00FC092C"/>
    <w:rsid w:val="00FC13A2"/>
    <w:rsid w:val="00FC1A6C"/>
    <w:rsid w:val="00FC23F5"/>
    <w:rsid w:val="00FC262C"/>
    <w:rsid w:val="00FC268B"/>
    <w:rsid w:val="00FC287C"/>
    <w:rsid w:val="00FC2C40"/>
    <w:rsid w:val="00FC3452"/>
    <w:rsid w:val="00FC3F08"/>
    <w:rsid w:val="00FC419D"/>
    <w:rsid w:val="00FC45AB"/>
    <w:rsid w:val="00FC46A6"/>
    <w:rsid w:val="00FC4946"/>
    <w:rsid w:val="00FC4C32"/>
    <w:rsid w:val="00FC5080"/>
    <w:rsid w:val="00FC5221"/>
    <w:rsid w:val="00FC526E"/>
    <w:rsid w:val="00FC546F"/>
    <w:rsid w:val="00FC54DC"/>
    <w:rsid w:val="00FC5625"/>
    <w:rsid w:val="00FC635C"/>
    <w:rsid w:val="00FC6A95"/>
    <w:rsid w:val="00FC6ADA"/>
    <w:rsid w:val="00FC6E86"/>
    <w:rsid w:val="00FC70F9"/>
    <w:rsid w:val="00FC7D57"/>
    <w:rsid w:val="00FD0678"/>
    <w:rsid w:val="00FD29AE"/>
    <w:rsid w:val="00FD3954"/>
    <w:rsid w:val="00FD3C2C"/>
    <w:rsid w:val="00FD51EF"/>
    <w:rsid w:val="00FD5E13"/>
    <w:rsid w:val="00FD6530"/>
    <w:rsid w:val="00FE008E"/>
    <w:rsid w:val="00FE00ED"/>
    <w:rsid w:val="00FE0F86"/>
    <w:rsid w:val="00FE1938"/>
    <w:rsid w:val="00FE1B07"/>
    <w:rsid w:val="00FE21E2"/>
    <w:rsid w:val="00FE24FD"/>
    <w:rsid w:val="00FE2F05"/>
    <w:rsid w:val="00FE42E4"/>
    <w:rsid w:val="00FE6160"/>
    <w:rsid w:val="00FE6835"/>
    <w:rsid w:val="00FE6D5F"/>
    <w:rsid w:val="00FE734F"/>
    <w:rsid w:val="00FE7B2E"/>
    <w:rsid w:val="00FF0951"/>
    <w:rsid w:val="00FF2503"/>
    <w:rsid w:val="00FF2932"/>
    <w:rsid w:val="00FF336E"/>
    <w:rsid w:val="00FF33F0"/>
    <w:rsid w:val="00FF38DD"/>
    <w:rsid w:val="00FF38E3"/>
    <w:rsid w:val="00FF3B24"/>
    <w:rsid w:val="00FF4120"/>
    <w:rsid w:val="00FF48D2"/>
    <w:rsid w:val="00FF4FA4"/>
    <w:rsid w:val="00FF5592"/>
    <w:rsid w:val="00FF5C7C"/>
    <w:rsid w:val="00FF6589"/>
    <w:rsid w:val="00FF65F6"/>
    <w:rsid w:val="00FF660C"/>
    <w:rsid w:val="00FF6BA1"/>
    <w:rsid w:val="00FF7949"/>
    <w:rsid w:val="018C1C42"/>
    <w:rsid w:val="019A0776"/>
    <w:rsid w:val="02A51D70"/>
    <w:rsid w:val="02D11ED3"/>
    <w:rsid w:val="03648CD3"/>
    <w:rsid w:val="038F7DDC"/>
    <w:rsid w:val="03F200AA"/>
    <w:rsid w:val="0415FE00"/>
    <w:rsid w:val="04574021"/>
    <w:rsid w:val="04DC2177"/>
    <w:rsid w:val="04ED8383"/>
    <w:rsid w:val="050CC0A0"/>
    <w:rsid w:val="05A597A7"/>
    <w:rsid w:val="05E78EA6"/>
    <w:rsid w:val="06376033"/>
    <w:rsid w:val="067C0E51"/>
    <w:rsid w:val="0697A4A6"/>
    <w:rsid w:val="069C9CD4"/>
    <w:rsid w:val="06C3741D"/>
    <w:rsid w:val="0759EAD2"/>
    <w:rsid w:val="075B5794"/>
    <w:rsid w:val="07A06116"/>
    <w:rsid w:val="07BEA0CF"/>
    <w:rsid w:val="07CA59C7"/>
    <w:rsid w:val="07F162FC"/>
    <w:rsid w:val="08A61E68"/>
    <w:rsid w:val="0934991F"/>
    <w:rsid w:val="09652276"/>
    <w:rsid w:val="09854F81"/>
    <w:rsid w:val="0A295DEB"/>
    <w:rsid w:val="0A4FBC86"/>
    <w:rsid w:val="0A5BE559"/>
    <w:rsid w:val="0AE128E6"/>
    <w:rsid w:val="0B2576AB"/>
    <w:rsid w:val="0C7B7C7A"/>
    <w:rsid w:val="0CC95E2D"/>
    <w:rsid w:val="0D36A32E"/>
    <w:rsid w:val="0D991819"/>
    <w:rsid w:val="0EB3AF18"/>
    <w:rsid w:val="0F65C8DC"/>
    <w:rsid w:val="0FFEEF8E"/>
    <w:rsid w:val="1106487C"/>
    <w:rsid w:val="12017D0B"/>
    <w:rsid w:val="1248BE94"/>
    <w:rsid w:val="124B63FE"/>
    <w:rsid w:val="124DCEE1"/>
    <w:rsid w:val="1255BBD0"/>
    <w:rsid w:val="1275D435"/>
    <w:rsid w:val="12ADC324"/>
    <w:rsid w:val="12B93470"/>
    <w:rsid w:val="13BEE7DB"/>
    <w:rsid w:val="143B5988"/>
    <w:rsid w:val="14BF93B9"/>
    <w:rsid w:val="14E5FEF7"/>
    <w:rsid w:val="1547EBEF"/>
    <w:rsid w:val="15F9F3CA"/>
    <w:rsid w:val="16329D78"/>
    <w:rsid w:val="175132DE"/>
    <w:rsid w:val="179EB868"/>
    <w:rsid w:val="17F47347"/>
    <w:rsid w:val="1819BDDE"/>
    <w:rsid w:val="18CE522D"/>
    <w:rsid w:val="19351FC2"/>
    <w:rsid w:val="19379664"/>
    <w:rsid w:val="193F11B8"/>
    <w:rsid w:val="198333C6"/>
    <w:rsid w:val="19910B9B"/>
    <w:rsid w:val="1A5239A1"/>
    <w:rsid w:val="1A757E09"/>
    <w:rsid w:val="1AAFAA04"/>
    <w:rsid w:val="1AB65162"/>
    <w:rsid w:val="1BEED03F"/>
    <w:rsid w:val="1BFF93E5"/>
    <w:rsid w:val="1C075BB9"/>
    <w:rsid w:val="1C1D0458"/>
    <w:rsid w:val="1D8C20D2"/>
    <w:rsid w:val="1DC7219F"/>
    <w:rsid w:val="1EEAC807"/>
    <w:rsid w:val="1F0BC9E1"/>
    <w:rsid w:val="1FF7A1FF"/>
    <w:rsid w:val="205F8FA4"/>
    <w:rsid w:val="21AC82E7"/>
    <w:rsid w:val="21B847AE"/>
    <w:rsid w:val="220FABBD"/>
    <w:rsid w:val="222E6626"/>
    <w:rsid w:val="231A0A86"/>
    <w:rsid w:val="23812B87"/>
    <w:rsid w:val="240EE88F"/>
    <w:rsid w:val="25454045"/>
    <w:rsid w:val="259A20C2"/>
    <w:rsid w:val="26488E71"/>
    <w:rsid w:val="26709F58"/>
    <w:rsid w:val="273E80B3"/>
    <w:rsid w:val="275D5B13"/>
    <w:rsid w:val="27BA6140"/>
    <w:rsid w:val="27C86FC2"/>
    <w:rsid w:val="27CA1C90"/>
    <w:rsid w:val="27E45ED2"/>
    <w:rsid w:val="289249C3"/>
    <w:rsid w:val="28A3361E"/>
    <w:rsid w:val="29F18EDC"/>
    <w:rsid w:val="29F87D2F"/>
    <w:rsid w:val="2A4496C4"/>
    <w:rsid w:val="2A4C3AAF"/>
    <w:rsid w:val="2B4E9012"/>
    <w:rsid w:val="2B9B596C"/>
    <w:rsid w:val="2BFC8E77"/>
    <w:rsid w:val="2C976617"/>
    <w:rsid w:val="2CB7CFF5"/>
    <w:rsid w:val="2D0ADA8D"/>
    <w:rsid w:val="2D784D54"/>
    <w:rsid w:val="2EA644A8"/>
    <w:rsid w:val="2EB85164"/>
    <w:rsid w:val="2F1277A2"/>
    <w:rsid w:val="2F5E42EC"/>
    <w:rsid w:val="2F754CCB"/>
    <w:rsid w:val="2F774278"/>
    <w:rsid w:val="2F94C771"/>
    <w:rsid w:val="300C62BC"/>
    <w:rsid w:val="3066EACC"/>
    <w:rsid w:val="3116EE28"/>
    <w:rsid w:val="314D569C"/>
    <w:rsid w:val="315EF0D7"/>
    <w:rsid w:val="31972DEF"/>
    <w:rsid w:val="32104E6B"/>
    <w:rsid w:val="325AD66A"/>
    <w:rsid w:val="33154930"/>
    <w:rsid w:val="337DDF2B"/>
    <w:rsid w:val="33F1E36D"/>
    <w:rsid w:val="33FC059F"/>
    <w:rsid w:val="3407395B"/>
    <w:rsid w:val="34405348"/>
    <w:rsid w:val="353277CC"/>
    <w:rsid w:val="3569FE85"/>
    <w:rsid w:val="36076A92"/>
    <w:rsid w:val="369A49F8"/>
    <w:rsid w:val="36D7FCBA"/>
    <w:rsid w:val="3869F06A"/>
    <w:rsid w:val="38B50564"/>
    <w:rsid w:val="38CF76C2"/>
    <w:rsid w:val="393D15D8"/>
    <w:rsid w:val="3980D0A9"/>
    <w:rsid w:val="39C10E70"/>
    <w:rsid w:val="39ED404C"/>
    <w:rsid w:val="39F3E569"/>
    <w:rsid w:val="3A2F6CAA"/>
    <w:rsid w:val="3A59B2F3"/>
    <w:rsid w:val="3B5F0A16"/>
    <w:rsid w:val="3BE9BF2C"/>
    <w:rsid w:val="3CA54029"/>
    <w:rsid w:val="3CFE300C"/>
    <w:rsid w:val="3D4E558C"/>
    <w:rsid w:val="3D5B0008"/>
    <w:rsid w:val="3D7FC638"/>
    <w:rsid w:val="3E2055B1"/>
    <w:rsid w:val="3F260C41"/>
    <w:rsid w:val="3F2A2953"/>
    <w:rsid w:val="3F352727"/>
    <w:rsid w:val="3F4DD7D6"/>
    <w:rsid w:val="3F9684EF"/>
    <w:rsid w:val="4023B440"/>
    <w:rsid w:val="4054933C"/>
    <w:rsid w:val="418577B6"/>
    <w:rsid w:val="41AE48FC"/>
    <w:rsid w:val="41D6F1FA"/>
    <w:rsid w:val="41FC5055"/>
    <w:rsid w:val="423DF5A0"/>
    <w:rsid w:val="4242BF4D"/>
    <w:rsid w:val="432BFA6C"/>
    <w:rsid w:val="43819F52"/>
    <w:rsid w:val="4505EC5C"/>
    <w:rsid w:val="4587F849"/>
    <w:rsid w:val="45BDCDBA"/>
    <w:rsid w:val="45FE4B26"/>
    <w:rsid w:val="46DB628A"/>
    <w:rsid w:val="483D4116"/>
    <w:rsid w:val="484B1593"/>
    <w:rsid w:val="48CD80B6"/>
    <w:rsid w:val="48E448DF"/>
    <w:rsid w:val="497D2AB4"/>
    <w:rsid w:val="49AC91EF"/>
    <w:rsid w:val="4A3A7784"/>
    <w:rsid w:val="4A86C8BD"/>
    <w:rsid w:val="4B62C419"/>
    <w:rsid w:val="4B74DC03"/>
    <w:rsid w:val="4C2D6992"/>
    <w:rsid w:val="4C57456E"/>
    <w:rsid w:val="4CCAEAB1"/>
    <w:rsid w:val="4CD8C094"/>
    <w:rsid w:val="4CF5462E"/>
    <w:rsid w:val="4CF6804A"/>
    <w:rsid w:val="4DB053F1"/>
    <w:rsid w:val="4F19C509"/>
    <w:rsid w:val="4F92D934"/>
    <w:rsid w:val="4FE5B656"/>
    <w:rsid w:val="50420B7E"/>
    <w:rsid w:val="50F0F019"/>
    <w:rsid w:val="5104FE02"/>
    <w:rsid w:val="51511F7E"/>
    <w:rsid w:val="515446F1"/>
    <w:rsid w:val="51681B03"/>
    <w:rsid w:val="51E23B7A"/>
    <w:rsid w:val="52389749"/>
    <w:rsid w:val="5247A840"/>
    <w:rsid w:val="528ADDF5"/>
    <w:rsid w:val="52B0E76D"/>
    <w:rsid w:val="52DFB5A1"/>
    <w:rsid w:val="530B6DC1"/>
    <w:rsid w:val="5394ED19"/>
    <w:rsid w:val="539FB0A2"/>
    <w:rsid w:val="53A01598"/>
    <w:rsid w:val="53F96BD0"/>
    <w:rsid w:val="54E9FF68"/>
    <w:rsid w:val="5513160D"/>
    <w:rsid w:val="56EB2689"/>
    <w:rsid w:val="571238D0"/>
    <w:rsid w:val="59308106"/>
    <w:rsid w:val="593424BF"/>
    <w:rsid w:val="598DEE24"/>
    <w:rsid w:val="59D0FFDF"/>
    <w:rsid w:val="59F15AE9"/>
    <w:rsid w:val="5A031424"/>
    <w:rsid w:val="5ADF8A9C"/>
    <w:rsid w:val="5B01ECCB"/>
    <w:rsid w:val="5B04FB34"/>
    <w:rsid w:val="5B6D96E7"/>
    <w:rsid w:val="5B75B51C"/>
    <w:rsid w:val="5BF5C633"/>
    <w:rsid w:val="5C1C9491"/>
    <w:rsid w:val="5C51B278"/>
    <w:rsid w:val="5CFB6B74"/>
    <w:rsid w:val="5D3BB105"/>
    <w:rsid w:val="5D6DA6B5"/>
    <w:rsid w:val="5E86CE74"/>
    <w:rsid w:val="5E9556D2"/>
    <w:rsid w:val="5EB1B795"/>
    <w:rsid w:val="5FD6263C"/>
    <w:rsid w:val="5FF670DB"/>
    <w:rsid w:val="5FF71C95"/>
    <w:rsid w:val="6094AD5F"/>
    <w:rsid w:val="61195AC5"/>
    <w:rsid w:val="61A42B66"/>
    <w:rsid w:val="61EBAC52"/>
    <w:rsid w:val="629C810B"/>
    <w:rsid w:val="62C04751"/>
    <w:rsid w:val="6320300B"/>
    <w:rsid w:val="632B326F"/>
    <w:rsid w:val="6360D196"/>
    <w:rsid w:val="638837CD"/>
    <w:rsid w:val="640E1A77"/>
    <w:rsid w:val="648E12C5"/>
    <w:rsid w:val="64FC428A"/>
    <w:rsid w:val="64FEE812"/>
    <w:rsid w:val="65161539"/>
    <w:rsid w:val="6599C1C1"/>
    <w:rsid w:val="66DE8072"/>
    <w:rsid w:val="66E49375"/>
    <w:rsid w:val="6733CCE3"/>
    <w:rsid w:val="67A37941"/>
    <w:rsid w:val="67D34A5F"/>
    <w:rsid w:val="68042A05"/>
    <w:rsid w:val="68885C27"/>
    <w:rsid w:val="69201826"/>
    <w:rsid w:val="6972269F"/>
    <w:rsid w:val="69ED4BAA"/>
    <w:rsid w:val="6A501B34"/>
    <w:rsid w:val="6B3AB67A"/>
    <w:rsid w:val="6B4D1A22"/>
    <w:rsid w:val="6C287A44"/>
    <w:rsid w:val="6C616C6C"/>
    <w:rsid w:val="6CF5E933"/>
    <w:rsid w:val="6D955B35"/>
    <w:rsid w:val="6DE1AC62"/>
    <w:rsid w:val="6EE858CF"/>
    <w:rsid w:val="6F7A9DB9"/>
    <w:rsid w:val="7058B093"/>
    <w:rsid w:val="705FD681"/>
    <w:rsid w:val="706E973F"/>
    <w:rsid w:val="70BAD2D5"/>
    <w:rsid w:val="70CB3920"/>
    <w:rsid w:val="723E7546"/>
    <w:rsid w:val="72FA8F5B"/>
    <w:rsid w:val="75248102"/>
    <w:rsid w:val="75B72EBF"/>
    <w:rsid w:val="764CF724"/>
    <w:rsid w:val="766A044A"/>
    <w:rsid w:val="7677B828"/>
    <w:rsid w:val="76D76614"/>
    <w:rsid w:val="76D92D85"/>
    <w:rsid w:val="7747F62F"/>
    <w:rsid w:val="779C92A3"/>
    <w:rsid w:val="78889F1C"/>
    <w:rsid w:val="78D64B05"/>
    <w:rsid w:val="78F47306"/>
    <w:rsid w:val="79D249FA"/>
    <w:rsid w:val="79FE2BCC"/>
    <w:rsid w:val="7A239DD1"/>
    <w:rsid w:val="7A9FF278"/>
    <w:rsid w:val="7AB18EE1"/>
    <w:rsid w:val="7ACF17F4"/>
    <w:rsid w:val="7AEB01DD"/>
    <w:rsid w:val="7AF1E0C8"/>
    <w:rsid w:val="7B1ECE69"/>
    <w:rsid w:val="7B5C2C05"/>
    <w:rsid w:val="7BEE5421"/>
    <w:rsid w:val="7C63545C"/>
    <w:rsid w:val="7CD5FB1A"/>
    <w:rsid w:val="7D2EACDB"/>
    <w:rsid w:val="7E666A9E"/>
    <w:rsid w:val="7FDA149F"/>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3"/>
    <w:qFormat/>
    <w:uiPriority w:val="9"/>
    <w:pPr>
      <w:keepNext/>
      <w:tabs>
        <w:tab w:val="left" w:pos="180"/>
      </w:tabs>
      <w:spacing w:after="120" w:line="288" w:lineRule="auto"/>
      <w:ind w:left="0" w:right="0" w:firstLine="0"/>
      <w:outlineLvl w:val="0"/>
    </w:pPr>
    <w:rPr>
      <w:rFonts w:eastAsia="Arial Unicode MS" w:cstheme="minorHAnsi"/>
      <w:b/>
      <w:color w:val="2F5496" w:themeColor="accent1" w:themeShade="BF"/>
      <w:kern w:val="32"/>
      <w:sz w:val="32"/>
      <w:szCs w:val="32"/>
      <w:lang w:val="en-GB" w:bidi="en-US"/>
    </w:rPr>
  </w:style>
  <w:style w:type="paragraph" w:styleId="3">
    <w:name w:val="heading 2"/>
    <w:basedOn w:val="1"/>
    <w:next w:val="1"/>
    <w:link w:val="25"/>
    <w:unhideWhenUsed/>
    <w:qFormat/>
    <w:uiPriority w:val="9"/>
    <w:pPr>
      <w:keepNext/>
      <w:keepLines/>
      <w:spacing w:after="120" w:line="276" w:lineRule="auto"/>
      <w:ind w:left="0" w:firstLine="0"/>
      <w:outlineLvl w:val="1"/>
    </w:pPr>
    <w:rPr>
      <w:rFonts w:ascii="Arial" w:hAnsi="Arial" w:eastAsiaTheme="majorEastAsia" w:cstheme="majorBidi"/>
      <w:b/>
      <w:color w:val="252525" w:themeColor="text1" w:themeTint="D9"/>
      <w:sz w:val="24"/>
      <w:szCs w:val="26"/>
      <w:lang w:val="en-GB" w:bidi="en-US"/>
    </w:rPr>
  </w:style>
  <w:style w:type="paragraph" w:styleId="4">
    <w:name w:val="heading 3"/>
    <w:basedOn w:val="1"/>
    <w:next w:val="1"/>
    <w:link w:val="26"/>
    <w:unhideWhenUsed/>
    <w:qFormat/>
    <w:uiPriority w:val="9"/>
    <w:pPr>
      <w:keepNext/>
      <w:keepLines/>
      <w:spacing w:after="120"/>
      <w:ind w:left="0" w:firstLine="0"/>
      <w:outlineLvl w:val="2"/>
    </w:pPr>
    <w:rPr>
      <w:rFonts w:ascii="Arial" w:hAnsi="Arial" w:eastAsiaTheme="majorEastAsia" w:cstheme="majorBidi"/>
      <w:color w:val="252525" w:themeColor="text1" w:themeTint="D9"/>
      <w:sz w:val="24"/>
      <w:szCs w:val="24"/>
    </w:rPr>
  </w:style>
  <w:style w:type="paragraph" w:styleId="5">
    <w:name w:val="heading 4"/>
    <w:basedOn w:val="1"/>
    <w:next w:val="1"/>
    <w:link w:val="45"/>
    <w:unhideWhenUsed/>
    <w:qFormat/>
    <w:uiPriority w:val="9"/>
    <w:pPr>
      <w:keepNext/>
      <w:keepLines/>
      <w:spacing w:before="40"/>
      <w:outlineLvl w:val="3"/>
    </w:pPr>
    <w:rPr>
      <w:rFonts w:asciiTheme="majorHAnsi" w:hAnsiTheme="majorHAnsi" w:eastAsiaTheme="majorEastAsia" w:cstheme="majorBidi"/>
      <w:i/>
      <w:iCs/>
      <w:color w:val="2F5496" w:themeColor="accent1" w:themeShade="BF"/>
    </w:rPr>
  </w:style>
  <w:style w:type="paragraph" w:styleId="6">
    <w:name w:val="heading 5"/>
    <w:basedOn w:val="1"/>
    <w:next w:val="1"/>
    <w:link w:val="53"/>
    <w:semiHidden/>
    <w:unhideWhenUsed/>
    <w:qFormat/>
    <w:uiPriority w:val="9"/>
    <w:pPr>
      <w:keepNext/>
      <w:keepLines/>
      <w:spacing w:before="40"/>
      <w:outlineLvl w:val="4"/>
    </w:pPr>
    <w:rPr>
      <w:rFonts w:asciiTheme="majorHAnsi" w:hAnsiTheme="majorHAnsi" w:eastAsiaTheme="majorEastAsia" w:cstheme="majorBidi"/>
      <w:color w:val="2F5496" w:themeColor="accent1" w:themeShade="BF"/>
    </w:rPr>
  </w:style>
  <w:style w:type="character" w:default="1" w:styleId="19">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54"/>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52525" w:themeColor="text1" w:themeTint="D9"/>
      <w:sz w:val="24"/>
    </w:rPr>
  </w:style>
  <w:style w:type="paragraph" w:styleId="9">
    <w:name w:val="Balloon Text"/>
    <w:basedOn w:val="1"/>
    <w:link w:val="48"/>
    <w:semiHidden/>
    <w:unhideWhenUsed/>
    <w:qFormat/>
    <w:uiPriority w:val="99"/>
    <w:pPr>
      <w:spacing w:before="0"/>
    </w:pPr>
    <w:rPr>
      <w:rFonts w:ascii="Segoe UI" w:hAnsi="Segoe UI" w:cs="Segoe UI"/>
      <w:sz w:val="18"/>
      <w:szCs w:val="18"/>
    </w:rPr>
  </w:style>
  <w:style w:type="paragraph" w:styleId="10">
    <w:name w:val="footer"/>
    <w:basedOn w:val="1"/>
    <w:link w:val="28"/>
    <w:unhideWhenUsed/>
    <w:qFormat/>
    <w:uiPriority w:val="99"/>
    <w:pPr>
      <w:tabs>
        <w:tab w:val="center" w:pos="4680"/>
        <w:tab w:val="right" w:pos="9360"/>
      </w:tabs>
      <w:spacing w:before="0"/>
    </w:pPr>
  </w:style>
  <w:style w:type="paragraph" w:styleId="11">
    <w:name w:val="header"/>
    <w:basedOn w:val="1"/>
    <w:link w:val="27"/>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52525" w:themeColor="text1" w:themeTint="D9"/>
      <w:sz w:val="24"/>
    </w:rPr>
  </w:style>
  <w:style w:type="paragraph" w:styleId="13">
    <w:name w:val="Subtitle"/>
    <w:basedOn w:val="1"/>
    <w:next w:val="1"/>
    <w:link w:val="40"/>
    <w:qFormat/>
    <w:uiPriority w:val="11"/>
    <w:pPr>
      <w:spacing w:after="160"/>
      <w:ind w:left="792" w:hanging="360"/>
    </w:pPr>
    <w:rPr>
      <w:rFonts w:eastAsiaTheme="minorEastAsia"/>
      <w:color w:val="595959" w:themeColor="text1" w:themeTint="A5"/>
      <w:spacing w:val="15"/>
    </w:rPr>
  </w:style>
  <w:style w:type="paragraph" w:styleId="14">
    <w:name w:val="toc 2"/>
    <w:basedOn w:val="1"/>
    <w:next w:val="1"/>
    <w:unhideWhenUsed/>
    <w:qFormat/>
    <w:uiPriority w:val="39"/>
    <w:pPr>
      <w:tabs>
        <w:tab w:val="right" w:leader="dot" w:pos="9016"/>
      </w:tabs>
      <w:spacing w:after="120" w:line="276" w:lineRule="auto"/>
      <w:ind w:left="504"/>
    </w:pPr>
    <w:rPr>
      <w:color w:val="252525" w:themeColor="text1" w:themeTint="D9"/>
      <w:sz w:val="24"/>
    </w:rPr>
  </w:style>
  <w:style w:type="paragraph" w:styleId="15">
    <w:name w:val="Normal (Web)"/>
    <w:basedOn w:val="1"/>
    <w:semiHidden/>
    <w:unhideWhenUsed/>
    <w:qFormat/>
    <w:uiPriority w:val="99"/>
    <w:pPr>
      <w:spacing w:before="100" w:beforeAutospacing="1" w:after="100" w:afterAutospacing="1"/>
      <w:ind w:left="0" w:right="0" w:firstLine="0"/>
    </w:pPr>
    <w:rPr>
      <w:rFonts w:ascii="Times New Roman" w:hAnsi="Times New Roman" w:eastAsia="Times New Roman" w:cs="Times New Roman"/>
      <w:sz w:val="24"/>
      <w:szCs w:val="24"/>
      <w:lang w:eastAsia="en-AU"/>
    </w:rPr>
  </w:style>
  <w:style w:type="paragraph" w:styleId="16">
    <w:name w:val="annotation subject"/>
    <w:basedOn w:val="7"/>
    <w:next w:val="7"/>
    <w:link w:val="55"/>
    <w:semiHidden/>
    <w:unhideWhenUsed/>
    <w:qFormat/>
    <w:uiPriority w:val="99"/>
    <w:rPr>
      <w:b/>
      <w:bCs/>
    </w:rPr>
  </w:style>
  <w:style w:type="table" w:styleId="18">
    <w:name w:val="Table Grid"/>
    <w:basedOn w:val="17"/>
    <w:qFormat/>
    <w:uiPriority w:val="39"/>
    <w:rPr>
      <w:color w:val="0C0C0C" w:themeColor="text1" w:themeTint="F2"/>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22"/>
    <w:rPr>
      <w:b/>
    </w:rPr>
  </w:style>
  <w:style w:type="character" w:styleId="21">
    <w:name w:val="FollowedHyperlink"/>
    <w:basedOn w:val="19"/>
    <w:semiHidden/>
    <w:unhideWhenUsed/>
    <w:qFormat/>
    <w:uiPriority w:val="99"/>
    <w:rPr>
      <w:color w:val="954F72" w:themeColor="followedHyperlink"/>
      <w:u w:val="single"/>
    </w:rPr>
  </w:style>
  <w:style w:type="character" w:styleId="22">
    <w:name w:val="Hyperlink"/>
    <w:basedOn w:val="19"/>
    <w:unhideWhenUsed/>
    <w:qFormat/>
    <w:uiPriority w:val="99"/>
    <w:rPr>
      <w:color w:val="0563C1" w:themeColor="hyperlink"/>
      <w:u w:val="single"/>
    </w:rPr>
  </w:style>
  <w:style w:type="character" w:styleId="23">
    <w:name w:val="annotation reference"/>
    <w:basedOn w:val="19"/>
    <w:semiHidden/>
    <w:unhideWhenUsed/>
    <w:qFormat/>
    <w:uiPriority w:val="99"/>
    <w:rPr>
      <w:sz w:val="16"/>
      <w:szCs w:val="16"/>
    </w:rPr>
  </w:style>
  <w:style w:type="paragraph" w:styleId="24">
    <w:name w:val="List Paragraph"/>
    <w:basedOn w:val="1"/>
    <w:link w:val="42"/>
    <w:qFormat/>
    <w:uiPriority w:val="34"/>
    <w:pPr>
      <w:ind w:left="720"/>
      <w:contextualSpacing/>
    </w:pPr>
  </w:style>
  <w:style w:type="character" w:customStyle="1" w:styleId="25">
    <w:name w:val="Heading 2 Char"/>
    <w:basedOn w:val="19"/>
    <w:link w:val="3"/>
    <w:qFormat/>
    <w:uiPriority w:val="9"/>
    <w:rPr>
      <w:rFonts w:ascii="Arial" w:hAnsi="Arial" w:eastAsiaTheme="majorEastAsia" w:cstheme="majorBidi"/>
      <w:b/>
      <w:color w:val="252525" w:themeColor="text1" w:themeTint="D9"/>
      <w:sz w:val="24"/>
      <w:szCs w:val="26"/>
      <w:lang w:val="en-GB" w:bidi="en-US"/>
    </w:rPr>
  </w:style>
  <w:style w:type="character" w:customStyle="1" w:styleId="26">
    <w:name w:val="Heading 3 Char"/>
    <w:basedOn w:val="19"/>
    <w:link w:val="4"/>
    <w:qFormat/>
    <w:uiPriority w:val="9"/>
    <w:rPr>
      <w:rFonts w:ascii="Arial" w:hAnsi="Arial" w:eastAsiaTheme="majorEastAsia" w:cstheme="majorBidi"/>
      <w:color w:val="252525" w:themeColor="text1" w:themeTint="D9"/>
      <w:sz w:val="24"/>
      <w:szCs w:val="24"/>
    </w:rPr>
  </w:style>
  <w:style w:type="character" w:customStyle="1" w:styleId="27">
    <w:name w:val="Header Char"/>
    <w:basedOn w:val="19"/>
    <w:link w:val="11"/>
    <w:qFormat/>
    <w:uiPriority w:val="99"/>
  </w:style>
  <w:style w:type="character" w:customStyle="1" w:styleId="28">
    <w:name w:val="Footer Char"/>
    <w:basedOn w:val="19"/>
    <w:link w:val="10"/>
    <w:qFormat/>
    <w:uiPriority w:val="99"/>
  </w:style>
  <w:style w:type="paragraph" w:customStyle="1" w:styleId="29">
    <w:name w:val="TVTR Mapping"/>
    <w:basedOn w:val="1"/>
    <w:link w:val="30"/>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30">
    <w:name w:val="TVTR Mapping Char"/>
    <w:basedOn w:val="19"/>
    <w:link w:val="29"/>
    <w:qFormat/>
    <w:uiPriority w:val="0"/>
    <w:rPr>
      <w:rFonts w:ascii="Arial" w:hAnsi="Arial" w:eastAsia="Times New Roman" w:cs="Arial"/>
      <w:i/>
      <w:color w:val="F79723"/>
      <w:sz w:val="20"/>
      <w:lang w:val="en-AU"/>
    </w:rPr>
  </w:style>
  <w:style w:type="paragraph" w:customStyle="1" w:styleId="31">
    <w:name w:val="TVTR Reference"/>
    <w:basedOn w:val="1"/>
    <w:link w:val="32"/>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2">
    <w:name w:val="TVTR Reference Char"/>
    <w:basedOn w:val="19"/>
    <w:link w:val="31"/>
    <w:uiPriority w:val="0"/>
    <w:rPr>
      <w:rFonts w:ascii="Times New Roman" w:hAnsi="Times New Roman" w:eastAsia="Arial Unicode MS" w:cstheme="minorHAnsi"/>
      <w:i/>
      <w:sz w:val="20"/>
      <w:szCs w:val="24"/>
      <w:lang w:val="en-AU"/>
    </w:rPr>
  </w:style>
  <w:style w:type="character" w:customStyle="1" w:styleId="33">
    <w:name w:val="Heading 1 Char"/>
    <w:basedOn w:val="19"/>
    <w:link w:val="2"/>
    <w:uiPriority w:val="9"/>
    <w:rPr>
      <w:rFonts w:eastAsia="Arial Unicode MS" w:cstheme="minorHAnsi"/>
      <w:b/>
      <w:color w:val="2F5496" w:themeColor="accent1" w:themeShade="BF"/>
      <w:kern w:val="32"/>
      <w:sz w:val="32"/>
      <w:szCs w:val="32"/>
      <w:lang w:val="en-GB" w:bidi="en-US"/>
    </w:rPr>
  </w:style>
  <w:style w:type="character" w:styleId="34">
    <w:name w:val="Placeholder Text"/>
    <w:basedOn w:val="19"/>
    <w:semiHidden/>
    <w:qFormat/>
    <w:uiPriority w:val="99"/>
    <w:rPr>
      <w:color w:val="808080"/>
    </w:rPr>
  </w:style>
  <w:style w:type="table" w:customStyle="1" w:styleId="35">
    <w:name w:val="Table Grid1"/>
    <w:basedOn w:val="17"/>
    <w:qFormat/>
    <w:uiPriority w:val="39"/>
    <w:rPr>
      <w:color w:val="0C0C0C" w:themeColor="text1" w:themeTint="F2"/>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Table Grid2"/>
    <w:basedOn w:val="17"/>
    <w:qFormat/>
    <w:uiPriority w:val="39"/>
    <w:rPr>
      <w:color w:val="0C0C0C" w:themeColor="text1" w:themeTint="F2"/>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8">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23E4F" w:themeColor="text2" w:themeShade="BF"/>
      <w:sz w:val="24"/>
      <w:lang w:eastAsia="en-AU" w:bidi="en-US"/>
    </w:rPr>
  </w:style>
  <w:style w:type="table" w:customStyle="1" w:styleId="39">
    <w:name w:val="Table Grid34"/>
    <w:basedOn w:val="17"/>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0">
    <w:name w:val="Subtitle Char"/>
    <w:basedOn w:val="19"/>
    <w:link w:val="13"/>
    <w:qFormat/>
    <w:uiPriority w:val="11"/>
    <w:rPr>
      <w:rFonts w:eastAsiaTheme="minorEastAsia"/>
      <w:color w:val="595959" w:themeColor="text1" w:themeTint="A5"/>
      <w:spacing w:val="15"/>
    </w:rPr>
  </w:style>
  <w:style w:type="character" w:customStyle="1" w:styleId="41">
    <w:name w:val="Unresolved Mention"/>
    <w:basedOn w:val="19"/>
    <w:semiHidden/>
    <w:unhideWhenUsed/>
    <w:qFormat/>
    <w:uiPriority w:val="99"/>
    <w:rPr>
      <w:color w:val="605E5C"/>
      <w:shd w:val="clear" w:color="auto" w:fill="E1DFDD"/>
    </w:rPr>
  </w:style>
  <w:style w:type="character" w:customStyle="1" w:styleId="42">
    <w:name w:val="List Paragraph Char"/>
    <w:basedOn w:val="19"/>
    <w:link w:val="24"/>
    <w:qFormat/>
    <w:uiPriority w:val="34"/>
  </w:style>
  <w:style w:type="character" w:customStyle="1" w:styleId="43">
    <w:name w:val="Style1 Char"/>
    <w:basedOn w:val="19"/>
    <w:link w:val="44"/>
    <w:qFormat/>
    <w:locked/>
    <w:uiPriority w:val="0"/>
    <w:rPr>
      <w:rFonts w:asciiTheme="majorHAnsi" w:hAnsiTheme="majorHAnsi" w:eastAsiaTheme="majorEastAsia" w:cstheme="majorBidi"/>
      <w:i/>
      <w:iCs/>
      <w:color w:val="002060"/>
      <w:lang w:val="en-AU"/>
    </w:rPr>
  </w:style>
  <w:style w:type="paragraph" w:customStyle="1" w:styleId="44">
    <w:name w:val="Style1"/>
    <w:basedOn w:val="5"/>
    <w:link w:val="43"/>
    <w:qFormat/>
    <w:uiPriority w:val="0"/>
    <w:pPr>
      <w:spacing w:before="120"/>
      <w:ind w:left="0" w:right="0" w:firstLine="0"/>
    </w:pPr>
    <w:rPr>
      <w:color w:val="002060"/>
    </w:rPr>
  </w:style>
  <w:style w:type="character" w:customStyle="1" w:styleId="45">
    <w:name w:val="Heading 4 Char"/>
    <w:basedOn w:val="19"/>
    <w:link w:val="5"/>
    <w:uiPriority w:val="9"/>
    <w:rPr>
      <w:rFonts w:asciiTheme="majorHAnsi" w:hAnsiTheme="majorHAnsi" w:eastAsiaTheme="majorEastAsia" w:cstheme="majorBidi"/>
      <w:i/>
      <w:iCs/>
      <w:color w:val="2F5496" w:themeColor="accent1" w:themeShade="BF"/>
    </w:rPr>
  </w:style>
  <w:style w:type="table" w:customStyle="1" w:styleId="46">
    <w:name w:val="Compliant Table Grid1"/>
    <w:basedOn w:val="17"/>
    <w:qFormat/>
    <w:uiPriority w:val="39"/>
    <w:rPr>
      <w:color w:val="0C0C0C" w:themeColor="text1" w:themeTint="F2"/>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7">
    <w:name w:val="Compliant Table Grid2"/>
    <w:basedOn w:val="17"/>
    <w:qFormat/>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8">
    <w:name w:val="Balloon Text Char"/>
    <w:basedOn w:val="19"/>
    <w:link w:val="9"/>
    <w:semiHidden/>
    <w:qFormat/>
    <w:uiPriority w:val="99"/>
    <w:rPr>
      <w:rFonts w:ascii="Segoe UI" w:hAnsi="Segoe UI" w:cs="Segoe UI"/>
      <w:sz w:val="18"/>
      <w:szCs w:val="18"/>
    </w:rPr>
  </w:style>
  <w:style w:type="paragraph" w:customStyle="1" w:styleId="49">
    <w:name w:val="Subtask 1.1.1"/>
    <w:basedOn w:val="44"/>
    <w:link w:val="50"/>
    <w:qFormat/>
    <w:uiPriority w:val="0"/>
    <w:pPr>
      <w:spacing w:after="120"/>
    </w:pPr>
    <w:rPr>
      <w:rFonts w:ascii="Arial" w:hAnsi="Arial" w:cs="Arial"/>
      <w:i w:val="0"/>
      <w:color w:val="252525" w:themeColor="text1" w:themeTint="D9"/>
      <w:sz w:val="24"/>
      <w:szCs w:val="24"/>
    </w:rPr>
  </w:style>
  <w:style w:type="character" w:customStyle="1" w:styleId="50">
    <w:name w:val="Subtask 1.1.1 Char"/>
    <w:basedOn w:val="43"/>
    <w:link w:val="49"/>
    <w:uiPriority w:val="0"/>
    <w:rPr>
      <w:rFonts w:ascii="Arial" w:hAnsi="Arial" w:cs="Arial" w:eastAsiaTheme="majorEastAsia"/>
      <w:i w:val="0"/>
      <w:color w:val="252525" w:themeColor="text1" w:themeTint="D9"/>
      <w:sz w:val="24"/>
      <w:szCs w:val="24"/>
      <w:lang w:val="en-AU"/>
    </w:rPr>
  </w:style>
  <w:style w:type="paragraph" w:customStyle="1" w:styleId="51">
    <w:name w:val="Style2"/>
    <w:basedOn w:val="6"/>
    <w:link w:val="52"/>
    <w:qFormat/>
    <w:uiPriority w:val="0"/>
    <w:rPr>
      <w:rFonts w:ascii="Calibri Light" w:hAnsi="Calibri Light" w:eastAsia="MS Gothic" w:cs="Times New Roman"/>
      <w:color w:val="365F91"/>
    </w:rPr>
  </w:style>
  <w:style w:type="character" w:customStyle="1" w:styleId="52">
    <w:name w:val="Style2 Char"/>
    <w:basedOn w:val="53"/>
    <w:link w:val="51"/>
    <w:qFormat/>
    <w:uiPriority w:val="0"/>
    <w:rPr>
      <w:rFonts w:ascii="Calibri Light" w:hAnsi="Calibri Light" w:eastAsia="MS Gothic" w:cs="Times New Roman"/>
      <w:color w:val="365F91"/>
      <w:lang w:val="en-AU"/>
    </w:rPr>
  </w:style>
  <w:style w:type="character" w:customStyle="1" w:styleId="53">
    <w:name w:val="Heading 5 Char"/>
    <w:basedOn w:val="19"/>
    <w:link w:val="6"/>
    <w:semiHidden/>
    <w:uiPriority w:val="9"/>
    <w:rPr>
      <w:rFonts w:asciiTheme="majorHAnsi" w:hAnsiTheme="majorHAnsi" w:eastAsiaTheme="majorEastAsia" w:cstheme="majorBidi"/>
      <w:color w:val="2F5496" w:themeColor="accent1" w:themeShade="BF"/>
    </w:rPr>
  </w:style>
  <w:style w:type="character" w:customStyle="1" w:styleId="54">
    <w:name w:val="Comment Text Char"/>
    <w:basedOn w:val="19"/>
    <w:link w:val="7"/>
    <w:qFormat/>
    <w:uiPriority w:val="99"/>
    <w:rPr>
      <w:sz w:val="20"/>
      <w:szCs w:val="20"/>
    </w:rPr>
  </w:style>
  <w:style w:type="character" w:customStyle="1" w:styleId="55">
    <w:name w:val="Comment Subject Char"/>
    <w:basedOn w:val="54"/>
    <w:link w:val="16"/>
    <w:semiHidden/>
    <w:uiPriority w:val="99"/>
    <w:rPr>
      <w:b/>
      <w:bCs/>
      <w:sz w:val="20"/>
      <w:szCs w:val="20"/>
    </w:rPr>
  </w:style>
  <w:style w:type="paragraph" w:customStyle="1" w:styleId="56">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7">
    <w:name w:val="Style4"/>
    <w:basedOn w:val="5"/>
    <w:link w:val="58"/>
    <w:qFormat/>
    <w:uiPriority w:val="0"/>
    <w:pPr>
      <w:spacing w:before="120" w:after="120"/>
    </w:pPr>
    <w:rPr>
      <w:color w:val="252525" w:themeColor="text1" w:themeTint="D9"/>
      <w:sz w:val="24"/>
      <w:szCs w:val="24"/>
    </w:rPr>
  </w:style>
  <w:style w:type="character" w:customStyle="1" w:styleId="58">
    <w:name w:val="Style4 Char"/>
    <w:basedOn w:val="19"/>
    <w:link w:val="57"/>
    <w:qFormat/>
    <w:uiPriority w:val="0"/>
    <w:rPr>
      <w:rFonts w:asciiTheme="majorHAnsi" w:hAnsiTheme="majorHAnsi" w:eastAsiaTheme="majorEastAsia" w:cstheme="majorBidi"/>
      <w:i/>
      <w:iCs/>
      <w:color w:val="252525" w:themeColor="text1" w:themeTint="D9"/>
      <w:sz w:val="24"/>
      <w:szCs w:val="24"/>
      <w:lang w:val="en-AU"/>
    </w:rPr>
  </w:style>
  <w:style w:type="character" w:customStyle="1" w:styleId="59">
    <w:name w:val="normaltextrun"/>
    <w:basedOn w:val="19"/>
    <w:qFormat/>
    <w:uiPriority w:val="0"/>
  </w:style>
  <w:style w:type="character" w:customStyle="1" w:styleId="60">
    <w:name w:val="eop"/>
    <w:basedOn w:val="19"/>
    <w:qFormat/>
    <w:uiPriority w:val="0"/>
  </w:style>
  <w:style w:type="paragraph" w:customStyle="1" w:styleId="61">
    <w:name w:val="paragraph"/>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eastAsia="en-AU"/>
    </w:rPr>
  </w:style>
  <w:style w:type="table" w:customStyle="1" w:styleId="62">
    <w:name w:val="Compliant Table Grid3"/>
    <w:basedOn w:val="17"/>
    <w:uiPriority w:val="39"/>
    <w:rPr>
      <w:rFonts w:ascii="Calibri" w:hAnsi="Calibri" w:eastAsia="Calibri" w:cs="Arial"/>
      <w:color w:val="0C0C0C" w:themeColor="text1" w:themeTint="F2"/>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Default"/>
    <w:qFormat/>
    <w:uiPriority w:val="0"/>
    <w:pPr>
      <w:autoSpaceDE w:val="0"/>
      <w:autoSpaceDN w:val="0"/>
      <w:adjustRightInd w:val="0"/>
      <w:spacing w:before="0" w:after="0" w:line="240" w:lineRule="auto"/>
      <w:ind w:left="0" w:right="0" w:firstLine="0"/>
    </w:pPr>
    <w:rPr>
      <w:rFonts w:ascii="Myriad Pro" w:hAnsi="Myriad Pro" w:eastAsia="Times New Roman" w:cs="Myriad Pro"/>
      <w:color w:val="000000"/>
      <w:sz w:val="24"/>
      <w:szCs w:val="24"/>
      <w:lang w:val="en-AU" w:eastAsia="en-AU" w:bidi="ar-SA"/>
    </w:rPr>
  </w:style>
  <w:style w:type="paragraph" w:customStyle="1" w:styleId="64">
    <w:name w:val="Copyright"/>
    <w:basedOn w:val="1"/>
    <w:qFormat/>
    <w:locked/>
    <w:uiPriority w:val="0"/>
    <w:rPr>
      <w:rFonts w:cs="Arial"/>
      <w:color w:val="000000"/>
      <w:szCs w:val="20"/>
    </w:rPr>
  </w:style>
  <w:style w:type="paragraph" w:customStyle="1" w:styleId="65">
    <w:name w:val="ani chart"/>
    <w:basedOn w:val="1"/>
    <w:qFormat/>
    <w:uiPriority w:val="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0" w:after="60"/>
      <w:outlineLvl w:val="0"/>
    </w:pPr>
    <w:rPr>
      <w:rFonts w:ascii="ZapfHumnst Ult BT" w:hAnsi="ZapfHumnst Ult BT"/>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B6F146E10D04B75BE407906AEB3AE06"/>
        <w:style w:val=""/>
        <w:category>
          <w:name w:val="General"/>
          <w:gallery w:val="placeholder"/>
        </w:category>
        <w:types>
          <w:type w:val="bbPlcHdr"/>
        </w:types>
        <w:behaviors>
          <w:behavior w:val="content"/>
        </w:behaviors>
        <w:description w:val=""/>
        <w:guid w:val="{E8E90726-EDCF-4FDB-9B2E-C07595F419CF}"/>
      </w:docPartPr>
      <w:docPartBody>
        <w:p>
          <w:pPr>
            <w:pStyle w:val="5"/>
          </w:pPr>
          <w:r>
            <w:rPr>
              <w:rStyle w:val="4"/>
            </w:rPr>
            <w:t>[Status]</w:t>
          </w:r>
        </w:p>
      </w:docPartBody>
    </w:docPart>
    <w:docPart>
      <w:docPartPr>
        <w:name w:val="2E7439E11D7A4487AA2B58FF66DEEAF1"/>
        <w:style w:val=""/>
        <w:category>
          <w:name w:val="General"/>
          <w:gallery w:val="placeholder"/>
        </w:category>
        <w:types>
          <w:type w:val="bbPlcHdr"/>
        </w:types>
        <w:behaviors>
          <w:behavior w:val="content"/>
        </w:behaviors>
        <w:description w:val=""/>
        <w:guid w:val="{49A39DF1-D90F-4CB9-88F8-DF3490F703BD}"/>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61E"/>
    <w:rsid w:val="0002761E"/>
    <w:rsid w:val="005B47BD"/>
    <w:rsid w:val="006F4C43"/>
    <w:rsid w:val="009F047A"/>
    <w:rsid w:val="00F074D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4B6F146E10D04B75BE407906AEB3AE0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2E7439E11D7A4487AA2B58FF66DEEAF1"/>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8"/>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B9770B-7C23-425C-B1C7-1885D59F0EE3}">
  <ds:schemaRefs/>
</ds:datastoreItem>
</file>

<file path=customXml/itemProps3.xml><?xml version="1.0" encoding="utf-8"?>
<ds:datastoreItem xmlns:ds="http://schemas.openxmlformats.org/officeDocument/2006/customXml" ds:itemID="{2054675D-6695-4125-BCCF-0D75A0EAB89E}">
  <ds:schemaRefs/>
</ds:datastoreItem>
</file>

<file path=customXml/itemProps4.xml><?xml version="1.0" encoding="utf-8"?>
<ds:datastoreItem xmlns:ds="http://schemas.openxmlformats.org/officeDocument/2006/customXml" ds:itemID="{4201F287-CD1C-4F59-A7DC-B083869E9EBC}">
  <ds:schemaRefs/>
</ds:datastoreItem>
</file>

<file path=customXml/itemProps5.xml><?xml version="1.0" encoding="utf-8"?>
<ds:datastoreItem xmlns:ds="http://schemas.openxmlformats.org/officeDocument/2006/customXml" ds:itemID="{4EEFFA8A-2FA3-4AC1-A095-AE1A1FA87FE8}">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67</Pages>
  <Words>9783</Words>
  <Characters>56938</Characters>
  <Lines>451</Lines>
  <Paragraphs>127</Paragraphs>
  <TotalTime>13</TotalTime>
  <ScaleCrop>false</ScaleCrop>
  <LinksUpToDate>false</LinksUpToDate>
  <CharactersWithSpaces>65637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2022-12-07T01:17:00Z</dcterms:created>
  <dc:creator>TotalVET Training Resources</dc:creator>
  <cp:lastModifiedBy>Administrator</cp:lastModifiedBy>
  <dcterms:modified xsi:type="dcterms:W3CDTF">2023-06-14T21:40:20Z</dcterms:modified>
  <dc:subject>Manage work health and safety in the building and construction workplace</dc:subject>
  <dc:title>CPCCBC4002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2052-11.1.0.14036</vt:lpwstr>
  </property>
  <property fmtid="{D5CDD505-2E9C-101B-9397-08002B2CF9AE}" pid="10" name="ICV">
    <vt:lpwstr>4CF822F7E24346FBAA238F4E87FCE59B</vt:lpwstr>
  </property>
</Properties>
</file>