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558A1" w14:textId="77777777" w:rsidR="00B55412" w:rsidRDefault="009F382A" w:rsidP="009F382A">
      <w:pPr>
        <w:pStyle w:val="Heading1"/>
        <w:rPr>
          <w:sz w:val="36"/>
          <w:szCs w:val="36"/>
        </w:rPr>
      </w:pPr>
      <w:r>
        <w:t xml:space="preserve">Building Report </w:t>
      </w:r>
    </w:p>
    <w:p w14:paraId="4BF5E032" w14:textId="5FDCDE1F" w:rsidR="009F382A" w:rsidRDefault="009F382A" w:rsidP="009F382A">
      <w:pPr>
        <w:pStyle w:val="Heading3"/>
      </w:pPr>
      <w:r>
        <w:t>Jessica Manley 11/02/2021</w:t>
      </w:r>
    </w:p>
    <w:p w14:paraId="374221E1" w14:textId="7F1A8DAD" w:rsidR="0020113B" w:rsidRDefault="0020113B" w:rsidP="0020113B"/>
    <w:p w14:paraId="38BA16FD" w14:textId="6166BCFB" w:rsidR="0020113B" w:rsidRPr="0020113B" w:rsidRDefault="000B3894" w:rsidP="0020113B">
      <w:pPr>
        <w:pStyle w:val="Heading5"/>
        <w:rPr>
          <w:sz w:val="28"/>
          <w:szCs w:val="28"/>
        </w:rPr>
      </w:pPr>
      <w:r w:rsidRPr="000B3894">
        <w:rPr>
          <w:b/>
          <w:bCs/>
          <w:sz w:val="28"/>
          <w:szCs w:val="28"/>
        </w:rPr>
        <w:t>Project Address:</w:t>
      </w:r>
      <w:r>
        <w:rPr>
          <w:sz w:val="28"/>
          <w:szCs w:val="28"/>
        </w:rPr>
        <w:t xml:space="preserve"> </w:t>
      </w:r>
      <w:r w:rsidR="0020113B" w:rsidRPr="0020113B">
        <w:rPr>
          <w:sz w:val="28"/>
          <w:szCs w:val="28"/>
        </w:rPr>
        <w:t>LOT 8</w:t>
      </w:r>
      <w:r w:rsidR="000138C1">
        <w:rPr>
          <w:sz w:val="28"/>
          <w:szCs w:val="28"/>
        </w:rPr>
        <w:t xml:space="preserve"> </w:t>
      </w:r>
      <w:r w:rsidR="0020113B" w:rsidRPr="0020113B">
        <w:rPr>
          <w:sz w:val="28"/>
          <w:szCs w:val="28"/>
        </w:rPr>
        <w:t>REES COURT</w:t>
      </w:r>
      <w:r w:rsidR="000138C1">
        <w:rPr>
          <w:sz w:val="28"/>
          <w:szCs w:val="28"/>
        </w:rPr>
        <w:t xml:space="preserve">, </w:t>
      </w:r>
      <w:r w:rsidR="0020113B" w:rsidRPr="0020113B">
        <w:rPr>
          <w:sz w:val="28"/>
          <w:szCs w:val="28"/>
        </w:rPr>
        <w:t>PALM BEACH QLD</w:t>
      </w:r>
    </w:p>
    <w:p w14:paraId="74680E21" w14:textId="77777777" w:rsidR="00B95C4B" w:rsidRPr="00B95C4B" w:rsidRDefault="00B95C4B" w:rsidP="00B95C4B"/>
    <w:p w14:paraId="7777051B" w14:textId="7FB6BCD5" w:rsidR="009F382A" w:rsidRPr="00B95C4B" w:rsidRDefault="000B3894" w:rsidP="00B95C4B">
      <w:pPr>
        <w:rPr>
          <w:sz w:val="24"/>
          <w:szCs w:val="24"/>
        </w:rPr>
      </w:pPr>
      <w:r w:rsidRPr="000B3894">
        <w:rPr>
          <w:b/>
          <w:bCs/>
        </w:rPr>
        <w:t>Class of Building</w:t>
      </w:r>
      <w:r>
        <w:t xml:space="preserve">: </w:t>
      </w:r>
      <w:r w:rsidR="009F382A">
        <w:t xml:space="preserve">The building shown in the drawings is a Class 1A building. This is clear as it is shown that this is a detached single dwelling. This is a residence house as it shows bedrooms, bathrooms and living rooms. </w:t>
      </w:r>
    </w:p>
    <w:p w14:paraId="1AFBF6F6" w14:textId="46873DCE" w:rsidR="00B95C4B" w:rsidRDefault="00954214" w:rsidP="00B95C4B">
      <w:r w:rsidRPr="000B3894">
        <w:rPr>
          <w:b/>
          <w:bCs/>
        </w:rPr>
        <w:t>Total floor area:</w:t>
      </w:r>
      <w:r>
        <w:t xml:space="preserve"> 359.25 m2</w:t>
      </w:r>
    </w:p>
    <w:p w14:paraId="22DBC754" w14:textId="02329125" w:rsidR="004B1747" w:rsidRDefault="004B1747" w:rsidP="004B1747">
      <w:pPr>
        <w:rPr>
          <w:b/>
          <w:bCs/>
        </w:rPr>
      </w:pPr>
      <w:r w:rsidRPr="00275C21">
        <w:rPr>
          <w:b/>
          <w:bCs/>
        </w:rPr>
        <w:t>Distance from building to boundaries/potential fire source features:</w:t>
      </w:r>
    </w:p>
    <w:p w14:paraId="14256D1D" w14:textId="7C25FA3B" w:rsidR="007963AC" w:rsidRDefault="007963AC" w:rsidP="007963AC">
      <w:pPr>
        <w:pStyle w:val="ListParagraph"/>
        <w:numPr>
          <w:ilvl w:val="0"/>
          <w:numId w:val="9"/>
        </w:numPr>
      </w:pPr>
      <w:r w:rsidRPr="007963AC">
        <w:t>3700</w:t>
      </w:r>
      <w:r>
        <w:t>mm from the back of the house to the next boundary</w:t>
      </w:r>
    </w:p>
    <w:p w14:paraId="30BCE9CB" w14:textId="50CC20FF" w:rsidR="007963AC" w:rsidRDefault="007963AC" w:rsidP="007963AC">
      <w:pPr>
        <w:pStyle w:val="ListParagraph"/>
        <w:numPr>
          <w:ilvl w:val="0"/>
          <w:numId w:val="9"/>
        </w:numPr>
      </w:pPr>
      <w:r>
        <w:t>2015 from the right side of the house to the boundary beside it</w:t>
      </w:r>
    </w:p>
    <w:p w14:paraId="6A977A89" w14:textId="687685B3" w:rsidR="007963AC" w:rsidRDefault="007963AC" w:rsidP="007963AC">
      <w:pPr>
        <w:pStyle w:val="ListParagraph"/>
        <w:numPr>
          <w:ilvl w:val="0"/>
          <w:numId w:val="9"/>
        </w:numPr>
      </w:pPr>
      <w:r>
        <w:t>840mm from the ledge of the pool on the left side, to the boundary.</w:t>
      </w:r>
    </w:p>
    <w:p w14:paraId="25F422BC" w14:textId="53A40FAE" w:rsidR="007963AC" w:rsidRPr="007963AC" w:rsidRDefault="007963AC" w:rsidP="007963AC">
      <w:pPr>
        <w:pStyle w:val="ListParagraph"/>
        <w:numPr>
          <w:ilvl w:val="0"/>
          <w:numId w:val="9"/>
        </w:numPr>
      </w:pPr>
      <w:r>
        <w:t xml:space="preserve">No boundaries or potential fire source features in close enough proximity to this project. </w:t>
      </w:r>
    </w:p>
    <w:p w14:paraId="40230F2A" w14:textId="35A159D3" w:rsidR="004B1747" w:rsidRDefault="004B1747" w:rsidP="004B1747">
      <w:r w:rsidRPr="004336EC">
        <w:rPr>
          <w:b/>
          <w:bCs/>
        </w:rPr>
        <w:t>Bushfire Attack Level:</w:t>
      </w:r>
      <w:r w:rsidRPr="004B1747">
        <w:t xml:space="preserve"> </w:t>
      </w:r>
      <w:r w:rsidRPr="001C29ED">
        <w:t xml:space="preserve">This project has a BAL (Bushfire Attack Level) of low. This is due to the location of the project as there is minimal to low vegetation nearby, or in proximity, as specified in </w:t>
      </w:r>
      <w:r w:rsidRPr="001C29ED">
        <w:rPr>
          <w:i/>
          <w:iCs/>
        </w:rPr>
        <w:t>AS3959</w:t>
      </w:r>
      <w:r w:rsidRPr="001C29ED">
        <w:t>.</w:t>
      </w:r>
    </w:p>
    <w:p w14:paraId="79188409" w14:textId="77777777" w:rsidR="000B3894" w:rsidRDefault="000B3894" w:rsidP="000B3894">
      <w:r w:rsidRPr="000B3894">
        <w:rPr>
          <w:b/>
          <w:bCs/>
        </w:rPr>
        <w:t>Passive Fire Protection</w:t>
      </w:r>
      <w:r>
        <w:t xml:space="preserve">: </w:t>
      </w:r>
      <w:bookmarkStart w:id="0" w:name="_GoBack"/>
      <w:bookmarkEnd w:id="0"/>
    </w:p>
    <w:p w14:paraId="53FB86EC" w14:textId="13158E0C" w:rsidR="00954214" w:rsidRDefault="00954214" w:rsidP="000B3894">
      <w:pPr>
        <w:pStyle w:val="ListParagraph"/>
        <w:numPr>
          <w:ilvl w:val="0"/>
          <w:numId w:val="1"/>
        </w:numPr>
      </w:pPr>
      <w:r>
        <w:t>Sarking on external walls</w:t>
      </w:r>
    </w:p>
    <w:p w14:paraId="7277B929" w14:textId="6A41AE3D" w:rsidR="00954214" w:rsidRDefault="00954214" w:rsidP="00954214">
      <w:pPr>
        <w:pStyle w:val="ListParagraph"/>
        <w:numPr>
          <w:ilvl w:val="0"/>
          <w:numId w:val="1"/>
        </w:numPr>
      </w:pPr>
      <w:r>
        <w:t>4.5mm Fibre cement sheets on eaves and fascia</w:t>
      </w:r>
    </w:p>
    <w:p w14:paraId="4599697A" w14:textId="7FA4D368" w:rsidR="00954214" w:rsidRDefault="00954214" w:rsidP="00954214">
      <w:pPr>
        <w:pStyle w:val="ListParagraph"/>
        <w:numPr>
          <w:ilvl w:val="0"/>
          <w:numId w:val="1"/>
        </w:numPr>
      </w:pPr>
      <w:r>
        <w:t xml:space="preserve">External walls to be brick veneered </w:t>
      </w:r>
    </w:p>
    <w:p w14:paraId="734BBFC4" w14:textId="77777777" w:rsidR="00B95C4B" w:rsidRDefault="007C3C5E" w:rsidP="00B95C4B">
      <w:pPr>
        <w:pStyle w:val="ListParagraph"/>
        <w:numPr>
          <w:ilvl w:val="0"/>
          <w:numId w:val="1"/>
        </w:numPr>
      </w:pPr>
      <w:r>
        <w:t>Non-combustible roofing and gutters</w:t>
      </w:r>
    </w:p>
    <w:p w14:paraId="74BBA9F6" w14:textId="489E67FF" w:rsidR="00B95C4B" w:rsidRDefault="000B3894" w:rsidP="007C3C5E">
      <w:r w:rsidRPr="000B3894">
        <w:rPr>
          <w:b/>
          <w:bCs/>
        </w:rPr>
        <w:t>Product/Supplier:</w:t>
      </w:r>
      <w:r>
        <w:t xml:space="preserve"> </w:t>
      </w:r>
      <w:r w:rsidR="007C3C5E">
        <w:t xml:space="preserve">This Fibre Cement </w:t>
      </w:r>
      <w:r w:rsidR="00C146F4">
        <w:t>villa board</w:t>
      </w:r>
      <w:r w:rsidR="007C3C5E">
        <w:t xml:space="preserve"> </w:t>
      </w:r>
      <w:r w:rsidR="00C146F4">
        <w:t xml:space="preserve">used (James Hardie Fibre Cement 9mm Villaboard), </w:t>
      </w:r>
      <w:r w:rsidR="007C3C5E">
        <w:t xml:space="preserve">has a fire rating of up to 60 minutes. This complies </w:t>
      </w:r>
      <w:r w:rsidR="007C3C5E" w:rsidRPr="007C3C5E">
        <w:t>with the performance requirements outlined in BCA Vol 2 section 3.7</w:t>
      </w:r>
      <w:r w:rsidR="00C146F4">
        <w:t>.:</w:t>
      </w:r>
      <w:r w:rsidR="007C3C5E">
        <w:br/>
      </w:r>
      <w:r w:rsidR="007C3C5E" w:rsidRPr="00B95C4B">
        <w:rPr>
          <w:b/>
          <w:bCs/>
        </w:rPr>
        <w:t>3.7.2.4 Construction of external walls</w:t>
      </w:r>
      <w:r>
        <w:br/>
      </w:r>
      <w:r w:rsidR="007C3C5E">
        <w:t>External walls (including gables) required to be fire-resisting (referred to in 3.7.2.2 or 3.7.2.5) must—</w:t>
      </w:r>
      <w:r w:rsidR="00C146F4">
        <w:br/>
      </w:r>
      <w:r w:rsidR="007C3C5E" w:rsidRPr="00C146F4">
        <w:rPr>
          <w:b/>
          <w:bCs/>
        </w:rPr>
        <w:t>(</w:t>
      </w:r>
      <w:proofErr w:type="spellStart"/>
      <w:r w:rsidR="007C3C5E" w:rsidRPr="00C146F4">
        <w:rPr>
          <w:b/>
          <w:bCs/>
        </w:rPr>
        <w:t>i</w:t>
      </w:r>
      <w:proofErr w:type="spellEnd"/>
      <w:r w:rsidR="007C3C5E" w:rsidRPr="00C146F4">
        <w:rPr>
          <w:b/>
          <w:bCs/>
        </w:rPr>
        <w:t>)</w:t>
      </w:r>
      <w:r w:rsidR="00C146F4">
        <w:t xml:space="preserve"> C</w:t>
      </w:r>
      <w:r w:rsidR="007C3C5E">
        <w:t>ommence at the footings or ground slab, except where the external wall commences above a separating wall</w:t>
      </w:r>
      <w:r w:rsidR="00C146F4">
        <w:t xml:space="preserve"> </w:t>
      </w:r>
      <w:r w:rsidR="007C3C5E">
        <w:t>complying with 3.7.3.2 (see Figure 3.7.2.2b)</w:t>
      </w:r>
      <w:r w:rsidR="00C146F4">
        <w:br/>
      </w:r>
      <w:r w:rsidR="007C3C5E" w:rsidRPr="00C146F4">
        <w:rPr>
          <w:b/>
          <w:bCs/>
        </w:rPr>
        <w:t>(ii)</w:t>
      </w:r>
      <w:r w:rsidR="00C146F4">
        <w:t xml:space="preserve"> E</w:t>
      </w:r>
      <w:r w:rsidR="007C3C5E">
        <w:t>xtend to—</w:t>
      </w:r>
      <w:r>
        <w:br/>
      </w:r>
      <w:r w:rsidR="007C3C5E" w:rsidRPr="00C146F4">
        <w:rPr>
          <w:b/>
          <w:bCs/>
        </w:rPr>
        <w:t>(A)</w:t>
      </w:r>
      <w:r w:rsidR="00C146F4">
        <w:rPr>
          <w:b/>
          <w:bCs/>
        </w:rPr>
        <w:t xml:space="preserve"> </w:t>
      </w:r>
      <w:r w:rsidR="00C146F4">
        <w:t>T</w:t>
      </w:r>
      <w:r w:rsidR="007C3C5E">
        <w:t>he underside of a non-combustible roof covering, except that a wall may terminate not more than 200 mm</w:t>
      </w:r>
      <w:r w:rsidR="00C146F4">
        <w:t xml:space="preserve"> </w:t>
      </w:r>
      <w:r w:rsidR="007C3C5E">
        <w:t>from the underside of a non-combustible roof covering, where the area between the external wall and</w:t>
      </w:r>
      <w:r w:rsidR="00C146F4">
        <w:t xml:space="preserve"> </w:t>
      </w:r>
      <w:r w:rsidR="007C3C5E">
        <w:t>underside of the roof covering is sealed with a non-combustible fascia, gutter or flashing; or</w:t>
      </w:r>
      <w:r>
        <w:br/>
      </w:r>
      <w:r w:rsidR="007C3C5E" w:rsidRPr="00C146F4">
        <w:rPr>
          <w:b/>
          <w:bCs/>
        </w:rPr>
        <w:t>(B)</w:t>
      </w:r>
      <w:r w:rsidR="00C146F4">
        <w:t xml:space="preserve"> T</w:t>
      </w:r>
      <w:r w:rsidR="007C3C5E">
        <w:t>he underside of a non-combustible eaves lining (See Figure 3.7.2.3); and</w:t>
      </w:r>
      <w:r w:rsidR="00B95C4B">
        <w:br/>
      </w:r>
      <w:r w:rsidR="007C3C5E" w:rsidRPr="00C146F4">
        <w:rPr>
          <w:b/>
          <w:bCs/>
        </w:rPr>
        <w:t>(iii)</w:t>
      </w:r>
      <w:r w:rsidR="00C146F4">
        <w:t xml:space="preserve"> B</w:t>
      </w:r>
      <w:r w:rsidR="007C3C5E">
        <w:t>e constructed in accordance with (b).</w:t>
      </w:r>
      <w:r>
        <w:br/>
      </w:r>
      <w:r w:rsidR="007C3C5E" w:rsidRPr="00C146F4">
        <w:rPr>
          <w:b/>
          <w:bCs/>
        </w:rPr>
        <w:t>(</w:t>
      </w:r>
      <w:r w:rsidR="00C146F4" w:rsidRPr="00C146F4">
        <w:rPr>
          <w:b/>
          <w:bCs/>
        </w:rPr>
        <w:t>B</w:t>
      </w:r>
      <w:r w:rsidR="007C3C5E" w:rsidRPr="00C146F4">
        <w:rPr>
          <w:b/>
          <w:bCs/>
        </w:rPr>
        <w:t>)</w:t>
      </w:r>
      <w:r w:rsidR="00C146F4">
        <w:t xml:space="preserve"> </w:t>
      </w:r>
      <w:r w:rsidR="007C3C5E">
        <w:t>A wall required by (a) must—</w:t>
      </w:r>
      <w:r w:rsidR="00B95C4B">
        <w:br/>
      </w:r>
      <w:r w:rsidR="007C3C5E" w:rsidRPr="00C146F4">
        <w:rPr>
          <w:b/>
          <w:bCs/>
        </w:rPr>
        <w:t>(</w:t>
      </w:r>
      <w:proofErr w:type="spellStart"/>
      <w:r w:rsidR="007C3C5E" w:rsidRPr="00C146F4">
        <w:rPr>
          <w:b/>
          <w:bCs/>
        </w:rPr>
        <w:t>i</w:t>
      </w:r>
      <w:proofErr w:type="spellEnd"/>
      <w:r w:rsidR="007C3C5E" w:rsidRPr="00C146F4">
        <w:rPr>
          <w:b/>
          <w:bCs/>
        </w:rPr>
        <w:t>)</w:t>
      </w:r>
      <w:r w:rsidR="00C146F4">
        <w:t xml:space="preserve"> H</w:t>
      </w:r>
      <w:r w:rsidR="007C3C5E">
        <w:t>ave an FRL of not less than 60/60/60 when tested from the outside</w:t>
      </w:r>
    </w:p>
    <w:p w14:paraId="59DCBC48" w14:textId="5408911E" w:rsidR="00B95C4B" w:rsidRDefault="000B3894" w:rsidP="007C3C5E">
      <w:r w:rsidRPr="004336EC">
        <w:rPr>
          <w:b/>
          <w:bCs/>
        </w:rPr>
        <w:t>Active Fire Protection</w:t>
      </w:r>
      <w:r>
        <w:t xml:space="preserve">: </w:t>
      </w:r>
      <w:r w:rsidR="00B95C4B" w:rsidRPr="00B95C4B">
        <w:t>Types of active fire protection required in the construction of the building as detailed in BCA Vol 2 Section 3.7.</w:t>
      </w:r>
      <w:r w:rsidR="00B95C4B">
        <w:t>:</w:t>
      </w:r>
    </w:p>
    <w:p w14:paraId="49D1B5B0" w14:textId="77777777" w:rsidR="00B95C4B" w:rsidRDefault="00B95C4B" w:rsidP="007C3C5E">
      <w:pPr>
        <w:pStyle w:val="ListParagraph"/>
        <w:numPr>
          <w:ilvl w:val="0"/>
          <w:numId w:val="8"/>
        </w:numPr>
      </w:pPr>
      <w:r>
        <w:lastRenderedPageBreak/>
        <w:t>Plasterboard</w:t>
      </w:r>
    </w:p>
    <w:p w14:paraId="0EC8EC9A" w14:textId="77777777" w:rsidR="00B95C4B" w:rsidRDefault="00B95C4B" w:rsidP="007C3C5E">
      <w:pPr>
        <w:pStyle w:val="ListParagraph"/>
        <w:numPr>
          <w:ilvl w:val="0"/>
          <w:numId w:val="8"/>
        </w:numPr>
      </w:pPr>
      <w:r>
        <w:t>Perforated gypsum lath with a normal paper finish</w:t>
      </w:r>
    </w:p>
    <w:p w14:paraId="1E60679D" w14:textId="77777777" w:rsidR="00B95C4B" w:rsidRDefault="00B95C4B" w:rsidP="007C3C5E">
      <w:pPr>
        <w:pStyle w:val="ListParagraph"/>
        <w:numPr>
          <w:ilvl w:val="0"/>
          <w:numId w:val="8"/>
        </w:numPr>
      </w:pPr>
      <w:r>
        <w:t>Fibrous-plaster sheet</w:t>
      </w:r>
    </w:p>
    <w:p w14:paraId="28B38DEB" w14:textId="77777777" w:rsidR="00B95C4B" w:rsidRDefault="00B95C4B" w:rsidP="007C3C5E">
      <w:pPr>
        <w:pStyle w:val="ListParagraph"/>
        <w:numPr>
          <w:ilvl w:val="0"/>
          <w:numId w:val="8"/>
        </w:numPr>
      </w:pPr>
      <w:r w:rsidRPr="00B95C4B">
        <w:t>Pre-finished metal sheeting having a combustible surface finish not exceeding 1 mm thick and where the Spread-of-Flame Index of the product is not more than 0</w:t>
      </w:r>
    </w:p>
    <w:p w14:paraId="28B50EFF" w14:textId="77777777" w:rsidR="00B95C4B" w:rsidRDefault="00B95C4B" w:rsidP="00B95C4B">
      <w:pPr>
        <w:pStyle w:val="ListParagraph"/>
        <w:numPr>
          <w:ilvl w:val="0"/>
          <w:numId w:val="8"/>
        </w:numPr>
      </w:pPr>
      <w:r w:rsidRPr="00B95C4B">
        <w:t>Sarking-type materials that do not exceed 1 mm in thickness and have a flammability index not greater than 5</w:t>
      </w:r>
    </w:p>
    <w:p w14:paraId="5F1285D1" w14:textId="2C4686FB" w:rsidR="00B95C4B" w:rsidRDefault="00B95C4B" w:rsidP="00B95C4B">
      <w:pPr>
        <w:pStyle w:val="ListParagraph"/>
        <w:numPr>
          <w:ilvl w:val="0"/>
          <w:numId w:val="8"/>
        </w:numPr>
      </w:pPr>
      <w:r>
        <w:t>Bonded laminated materials where—</w:t>
      </w:r>
    </w:p>
    <w:p w14:paraId="14C94316" w14:textId="02B9D967" w:rsidR="00B95C4B" w:rsidRDefault="00B95C4B" w:rsidP="00B95C4B">
      <w:r w:rsidRPr="00B95C4B">
        <w:rPr>
          <w:b/>
          <w:bCs/>
        </w:rPr>
        <w:t>(</w:t>
      </w:r>
      <w:proofErr w:type="spellStart"/>
      <w:r w:rsidRPr="00B95C4B">
        <w:rPr>
          <w:b/>
          <w:bCs/>
        </w:rPr>
        <w:t>i</w:t>
      </w:r>
      <w:proofErr w:type="spellEnd"/>
      <w:r w:rsidRPr="00B95C4B">
        <w:rPr>
          <w:b/>
          <w:bCs/>
        </w:rPr>
        <w:t>)</w:t>
      </w:r>
      <w:r>
        <w:rPr>
          <w:b/>
          <w:bCs/>
        </w:rPr>
        <w:t xml:space="preserve"> </w:t>
      </w:r>
      <w:r>
        <w:t>Each lamina, including any core, is non-combustible; and</w:t>
      </w:r>
      <w:r w:rsidR="000B3894">
        <w:br/>
      </w:r>
      <w:r w:rsidRPr="00B95C4B">
        <w:rPr>
          <w:b/>
          <w:bCs/>
        </w:rPr>
        <w:t>(ii)</w:t>
      </w:r>
      <w:r>
        <w:t xml:space="preserve"> Each adhesive layer does not exceed 1 mm in thickness and the total thickness of the adhesive layers does not exceed 2 mm; and</w:t>
      </w:r>
    </w:p>
    <w:p w14:paraId="7BB232BA" w14:textId="6057AC17" w:rsidR="00B95C4B" w:rsidRDefault="00B95C4B" w:rsidP="007C3C5E">
      <w:r w:rsidRPr="00B95C4B">
        <w:rPr>
          <w:b/>
          <w:bCs/>
        </w:rPr>
        <w:t>(iii)</w:t>
      </w:r>
      <w:r>
        <w:t xml:space="preserve"> The Spread-of-Flame Index and the Smoke-Developed Index of the bonded laminated material </w:t>
      </w:r>
      <w:proofErr w:type="gramStart"/>
      <w:r>
        <w:t>as a whole do</w:t>
      </w:r>
      <w:proofErr w:type="gramEnd"/>
      <w:r>
        <w:t xml:space="preserve"> not exceed 0 and 3 respectively</w:t>
      </w:r>
    </w:p>
    <w:p w14:paraId="534092AC" w14:textId="39D178C9" w:rsidR="00954214" w:rsidRPr="000B3894" w:rsidRDefault="000B3894" w:rsidP="00954214">
      <w:pPr>
        <w:rPr>
          <w:b/>
          <w:bCs/>
        </w:rPr>
      </w:pPr>
      <w:r w:rsidRPr="000B3894">
        <w:rPr>
          <w:b/>
          <w:bCs/>
        </w:rPr>
        <w:t>Recommendation:</w:t>
      </w:r>
      <w:r>
        <w:rPr>
          <w:b/>
          <w:bCs/>
        </w:rPr>
        <w:t xml:space="preserve"> </w:t>
      </w:r>
      <w:r w:rsidR="00B95C4B">
        <w:t>Another altern</w:t>
      </w:r>
      <w:r w:rsidR="0020113B">
        <w:t>ative external cladding which can be used could be James Hardie Matrix Cladding. This also have a fire rating of up to 60 minutes. This is also a better fit for the environment as it is pre-cut and pre-finished. It has better thermal properties and goes up to R3.3 and it is easier to install than standard cladding.</w:t>
      </w:r>
    </w:p>
    <w:p w14:paraId="49239437" w14:textId="4574EF0D" w:rsidR="0020113B" w:rsidRDefault="0020113B" w:rsidP="00954214">
      <w:r>
        <w:rPr>
          <w:noProof/>
        </w:rPr>
        <w:drawing>
          <wp:anchor distT="0" distB="0" distL="114300" distR="114300" simplePos="0" relativeHeight="251658240" behindDoc="0" locked="0" layoutInCell="1" allowOverlap="1" wp14:anchorId="470C3258" wp14:editId="680290AB">
            <wp:simplePos x="0" y="0"/>
            <wp:positionH relativeFrom="margin">
              <wp:align>left</wp:align>
            </wp:positionH>
            <wp:positionV relativeFrom="paragraph">
              <wp:posOffset>236855</wp:posOffset>
            </wp:positionV>
            <wp:extent cx="5317113" cy="2143019"/>
            <wp:effectExtent l="0" t="0" r="0" b="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7113" cy="2143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039406" w14:textId="27BAF470" w:rsidR="0020113B" w:rsidRPr="0020113B" w:rsidRDefault="0020113B" w:rsidP="0020113B"/>
    <w:p w14:paraId="4A402DCD" w14:textId="1B29E565" w:rsidR="0020113B" w:rsidRPr="0020113B" w:rsidRDefault="0020113B" w:rsidP="0020113B"/>
    <w:p w14:paraId="315217F4" w14:textId="356DB153" w:rsidR="0020113B" w:rsidRPr="0020113B" w:rsidRDefault="0020113B" w:rsidP="0020113B"/>
    <w:p w14:paraId="4C389425" w14:textId="319824DC" w:rsidR="0020113B" w:rsidRPr="0020113B" w:rsidRDefault="0020113B" w:rsidP="0020113B"/>
    <w:p w14:paraId="34CAE876" w14:textId="6744B6DB" w:rsidR="0020113B" w:rsidRPr="0020113B" w:rsidRDefault="0020113B" w:rsidP="0020113B"/>
    <w:p w14:paraId="5227CE0B" w14:textId="5C1857B5" w:rsidR="0020113B" w:rsidRPr="0020113B" w:rsidRDefault="0020113B" w:rsidP="0020113B"/>
    <w:p w14:paraId="2CE9A12F" w14:textId="19D9472B" w:rsidR="0020113B" w:rsidRPr="0020113B" w:rsidRDefault="0020113B" w:rsidP="0020113B"/>
    <w:p w14:paraId="3F8BEDD9" w14:textId="763084A1" w:rsidR="0020113B" w:rsidRPr="0020113B" w:rsidRDefault="0020113B" w:rsidP="0020113B"/>
    <w:p w14:paraId="3E5D1CC9" w14:textId="15260E15" w:rsidR="0020113B" w:rsidRDefault="0020113B" w:rsidP="0020113B"/>
    <w:p w14:paraId="6FF704E8" w14:textId="6CC0E666" w:rsidR="0020113B" w:rsidRPr="0020113B" w:rsidRDefault="00914D35" w:rsidP="0020113B">
      <w:hyperlink r:id="rId8" w:history="1">
        <w:r w:rsidR="0020113B">
          <w:rPr>
            <w:rStyle w:val="Hyperlink"/>
          </w:rPr>
          <w:t>Scyon_Matrix_Installation_Guide_220620_web.pdf (ctfassets.net)</w:t>
        </w:r>
      </w:hyperlink>
    </w:p>
    <w:sectPr w:rsidR="0020113B" w:rsidRPr="00201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76C54" w14:textId="77777777" w:rsidR="00914D35" w:rsidRDefault="00914D35" w:rsidP="00B95C4B">
      <w:pPr>
        <w:spacing w:after="0" w:line="240" w:lineRule="auto"/>
      </w:pPr>
      <w:r>
        <w:separator/>
      </w:r>
    </w:p>
  </w:endnote>
  <w:endnote w:type="continuationSeparator" w:id="0">
    <w:p w14:paraId="005DCB6F" w14:textId="77777777" w:rsidR="00914D35" w:rsidRDefault="00914D35" w:rsidP="00B95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E13A8" w14:textId="77777777" w:rsidR="00914D35" w:rsidRDefault="00914D35" w:rsidP="00B95C4B">
      <w:pPr>
        <w:spacing w:after="0" w:line="240" w:lineRule="auto"/>
      </w:pPr>
      <w:r>
        <w:separator/>
      </w:r>
    </w:p>
  </w:footnote>
  <w:footnote w:type="continuationSeparator" w:id="0">
    <w:p w14:paraId="356ADC5A" w14:textId="77777777" w:rsidR="00914D35" w:rsidRDefault="00914D35" w:rsidP="00B95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F2E9D"/>
    <w:multiLevelType w:val="hybridMultilevel"/>
    <w:tmpl w:val="128012FE"/>
    <w:lvl w:ilvl="0" w:tplc="8F7400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B47EE"/>
    <w:multiLevelType w:val="hybridMultilevel"/>
    <w:tmpl w:val="768A25EC"/>
    <w:lvl w:ilvl="0" w:tplc="706415B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5F34BE"/>
    <w:multiLevelType w:val="hybridMultilevel"/>
    <w:tmpl w:val="11B48C0E"/>
    <w:lvl w:ilvl="0" w:tplc="706415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47517"/>
    <w:multiLevelType w:val="hybridMultilevel"/>
    <w:tmpl w:val="72324FC4"/>
    <w:lvl w:ilvl="0" w:tplc="8F7400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683026"/>
    <w:multiLevelType w:val="hybridMultilevel"/>
    <w:tmpl w:val="577A358A"/>
    <w:lvl w:ilvl="0" w:tplc="8F7400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547820"/>
    <w:multiLevelType w:val="hybridMultilevel"/>
    <w:tmpl w:val="76B80220"/>
    <w:lvl w:ilvl="0" w:tplc="D60C20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A706E"/>
    <w:multiLevelType w:val="hybridMultilevel"/>
    <w:tmpl w:val="128CC600"/>
    <w:lvl w:ilvl="0" w:tplc="706415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801A2"/>
    <w:multiLevelType w:val="hybridMultilevel"/>
    <w:tmpl w:val="AD482034"/>
    <w:lvl w:ilvl="0" w:tplc="8F7400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07EF7"/>
    <w:multiLevelType w:val="hybridMultilevel"/>
    <w:tmpl w:val="19E2339A"/>
    <w:lvl w:ilvl="0" w:tplc="706415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82A"/>
    <w:rsid w:val="0000088D"/>
    <w:rsid w:val="00011E99"/>
    <w:rsid w:val="000138C1"/>
    <w:rsid w:val="000B3894"/>
    <w:rsid w:val="001C29ED"/>
    <w:rsid w:val="0020113B"/>
    <w:rsid w:val="00334099"/>
    <w:rsid w:val="00381BA2"/>
    <w:rsid w:val="004B1747"/>
    <w:rsid w:val="005C6157"/>
    <w:rsid w:val="007378CE"/>
    <w:rsid w:val="007963AC"/>
    <w:rsid w:val="007C3C5E"/>
    <w:rsid w:val="007E551F"/>
    <w:rsid w:val="008F2BC6"/>
    <w:rsid w:val="00914D35"/>
    <w:rsid w:val="00954214"/>
    <w:rsid w:val="009F382A"/>
    <w:rsid w:val="00B95C4B"/>
    <w:rsid w:val="00C1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C3CA4"/>
  <w15:chartTrackingRefBased/>
  <w15:docId w15:val="{3315FD1F-A9E5-4682-A996-CE4CAA53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38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38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38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5421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6D1D6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0113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D1D6A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382A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382A"/>
    <w:rPr>
      <w:rFonts w:asciiTheme="majorHAnsi" w:eastAsiaTheme="majorEastAsia" w:hAnsiTheme="majorHAnsi" w:cstheme="majorBidi"/>
      <w:color w:val="6D1D6A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F382A"/>
    <w:rPr>
      <w:rFonts w:asciiTheme="majorHAnsi" w:eastAsiaTheme="majorEastAsia" w:hAnsiTheme="majorHAnsi" w:cstheme="majorBidi"/>
      <w:color w:val="481346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54214"/>
    <w:rPr>
      <w:rFonts w:asciiTheme="majorHAnsi" w:eastAsiaTheme="majorEastAsia" w:hAnsiTheme="majorHAnsi" w:cstheme="majorBidi"/>
      <w:i/>
      <w:iCs/>
      <w:color w:val="6D1D6A" w:themeColor="accent1" w:themeShade="BF"/>
    </w:rPr>
  </w:style>
  <w:style w:type="paragraph" w:styleId="ListParagraph">
    <w:name w:val="List Paragraph"/>
    <w:basedOn w:val="Normal"/>
    <w:uiPriority w:val="34"/>
    <w:qFormat/>
    <w:rsid w:val="009542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5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C4B"/>
  </w:style>
  <w:style w:type="paragraph" w:styleId="Footer">
    <w:name w:val="footer"/>
    <w:basedOn w:val="Normal"/>
    <w:link w:val="FooterChar"/>
    <w:uiPriority w:val="99"/>
    <w:unhideWhenUsed/>
    <w:rsid w:val="00B95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C4B"/>
  </w:style>
  <w:style w:type="character" w:styleId="Hyperlink">
    <w:name w:val="Hyperlink"/>
    <w:basedOn w:val="DefaultParagraphFont"/>
    <w:uiPriority w:val="99"/>
    <w:semiHidden/>
    <w:unhideWhenUsed/>
    <w:rsid w:val="0020113B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20113B"/>
    <w:rPr>
      <w:rFonts w:asciiTheme="majorHAnsi" w:eastAsiaTheme="majorEastAsia" w:hAnsiTheme="majorHAnsi" w:cstheme="majorBidi"/>
      <w:color w:val="6D1D6A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ctfassets.net/rg5y8r6t6cjr/1jfKxBiLSRxilpIMlfISIu/dec5514df7103d2e82b7a29c4a084adc/Scyon_Matrix_Installation_Guide_220620_web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7</cp:revision>
  <cp:lastPrinted>2021-02-28T22:36:00Z</cp:lastPrinted>
  <dcterms:created xsi:type="dcterms:W3CDTF">2021-02-10T23:50:00Z</dcterms:created>
  <dcterms:modified xsi:type="dcterms:W3CDTF">2021-02-28T22:36:00Z</dcterms:modified>
</cp:coreProperties>
</file>