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12" w:rsidRPr="00D52B8A" w:rsidRDefault="00F2486A" w:rsidP="00F2486A">
      <w:pPr>
        <w:pStyle w:val="IntenseQuote"/>
        <w:rPr>
          <w:sz w:val="32"/>
          <w:szCs w:val="32"/>
        </w:rPr>
      </w:pPr>
      <w:r w:rsidRPr="00D52B8A">
        <w:rPr>
          <w:sz w:val="32"/>
          <w:szCs w:val="32"/>
        </w:rPr>
        <w:t>Concrete inspection checklist</w:t>
      </w:r>
    </w:p>
    <w:p w:rsidR="003A401B" w:rsidRPr="003A401B" w:rsidRDefault="003A401B" w:rsidP="00F2486A">
      <w:pPr>
        <w:rPr>
          <w:b/>
          <w:bCs/>
        </w:rPr>
      </w:pPr>
      <w:r w:rsidRPr="003A401B">
        <w:rPr>
          <w:b/>
          <w:bCs/>
        </w:rPr>
        <w:t>To begin:</w:t>
      </w:r>
    </w:p>
    <w:p w:rsidR="00F2486A" w:rsidRDefault="00F2486A" w:rsidP="003A401B">
      <w:pPr>
        <w:pStyle w:val="ListParagraph"/>
        <w:numPr>
          <w:ilvl w:val="0"/>
          <w:numId w:val="1"/>
        </w:numPr>
      </w:pPr>
      <w:r>
        <w:t>Ensure the footing and slab complies with the AS 2870.</w:t>
      </w:r>
    </w:p>
    <w:p w:rsidR="00F2486A" w:rsidRDefault="00F2486A" w:rsidP="00F2486A">
      <w:pPr>
        <w:pStyle w:val="ListParagraph"/>
        <w:numPr>
          <w:ilvl w:val="0"/>
          <w:numId w:val="1"/>
        </w:numPr>
      </w:pPr>
      <w:r>
        <w:t>Ensure the structure supported by the footing does not contain more than two trafficable floors or a wall height exceeding 8m (excluding any gable).</w:t>
      </w:r>
    </w:p>
    <w:p w:rsidR="00F2486A" w:rsidRDefault="00F2486A" w:rsidP="00F2486A">
      <w:pPr>
        <w:pStyle w:val="ListParagraph"/>
        <w:numPr>
          <w:ilvl w:val="0"/>
          <w:numId w:val="1"/>
        </w:numPr>
      </w:pPr>
      <w:r>
        <w:t>Ensure the footing does not support more than one concrete slab.</w:t>
      </w:r>
    </w:p>
    <w:p w:rsidR="00F2486A" w:rsidRDefault="00F2486A" w:rsidP="00F2486A">
      <w:pPr>
        <w:pStyle w:val="ListParagraph"/>
        <w:numPr>
          <w:ilvl w:val="0"/>
          <w:numId w:val="1"/>
        </w:numPr>
      </w:pPr>
      <w:r>
        <w:t>Ensure the building does not include wing walls or masonry arches not detailed for movement</w:t>
      </w:r>
    </w:p>
    <w:p w:rsidR="00F2486A" w:rsidRDefault="00F2486A" w:rsidP="00F2486A">
      <w:pPr>
        <w:pStyle w:val="ListParagraph"/>
        <w:numPr>
          <w:ilvl w:val="0"/>
          <w:numId w:val="1"/>
        </w:numPr>
      </w:pPr>
      <w:r>
        <w:t>Ensure single leaf earth or stone masonry walls do not exceed 3m in height</w:t>
      </w:r>
    </w:p>
    <w:p w:rsidR="00F2486A" w:rsidRDefault="00F2486A" w:rsidP="00F2486A">
      <w:pPr>
        <w:pStyle w:val="ListParagraph"/>
        <w:numPr>
          <w:ilvl w:val="0"/>
          <w:numId w:val="1"/>
        </w:numPr>
      </w:pPr>
      <w:r>
        <w:t xml:space="preserve">Ensure the site is normal (as </w:t>
      </w:r>
      <w:r w:rsidR="003A401B">
        <w:t>defined</w:t>
      </w:r>
      <w:r>
        <w:t xml:space="preserve"> by Part 3.1.1 in NCC Vol 2)</w:t>
      </w:r>
    </w:p>
    <w:p w:rsidR="00F2486A" w:rsidRDefault="00F2486A" w:rsidP="00F2486A">
      <w:pPr>
        <w:pStyle w:val="ListParagraph"/>
        <w:numPr>
          <w:ilvl w:val="0"/>
          <w:numId w:val="1"/>
        </w:numPr>
      </w:pPr>
      <w:r>
        <w:t>Ensure the site is not located in an alpine area</w:t>
      </w:r>
    </w:p>
    <w:p w:rsidR="003A401B" w:rsidRPr="003A401B" w:rsidRDefault="003A401B" w:rsidP="003A401B">
      <w:pPr>
        <w:pStyle w:val="Heading1"/>
        <w:rPr>
          <w:u w:val="single"/>
        </w:rPr>
      </w:pPr>
      <w:r w:rsidRPr="003A401B">
        <w:rPr>
          <w:u w:val="single"/>
        </w:rPr>
        <w:t>Preparation</w:t>
      </w:r>
    </w:p>
    <w:p w:rsidR="003A401B" w:rsidRPr="003A401B" w:rsidRDefault="003A401B" w:rsidP="003A401B">
      <w:pPr>
        <w:rPr>
          <w:b/>
          <w:bCs/>
        </w:rPr>
      </w:pPr>
      <w:r w:rsidRPr="003A401B">
        <w:rPr>
          <w:b/>
          <w:bCs/>
        </w:rPr>
        <w:t>Excavation for footings:</w:t>
      </w:r>
    </w:p>
    <w:p w:rsidR="003A401B" w:rsidRDefault="003A401B" w:rsidP="003A401B">
      <w:pPr>
        <w:pStyle w:val="ListParagraph"/>
        <w:numPr>
          <w:ilvl w:val="0"/>
          <w:numId w:val="2"/>
        </w:numPr>
      </w:pPr>
      <w:r>
        <w:t>Ensure excavations for footings and thickenings for slabs and pads are clean cut with vertical sides wherever possible.</w:t>
      </w:r>
    </w:p>
    <w:p w:rsidR="003A401B" w:rsidRDefault="003A401B" w:rsidP="003A401B">
      <w:pPr>
        <w:pStyle w:val="ListParagraph"/>
        <w:numPr>
          <w:ilvl w:val="0"/>
          <w:numId w:val="2"/>
        </w:numPr>
      </w:pPr>
      <w:r>
        <w:t xml:space="preserve">The base of the excavation must be for flat sites, level with a slope no more than 1:40 and sloping sites at an angle no more than 1:10. </w:t>
      </w:r>
    </w:p>
    <w:p w:rsidR="003A401B" w:rsidRDefault="003A401B" w:rsidP="003A401B">
      <w:pPr>
        <w:pStyle w:val="ListParagraph"/>
        <w:numPr>
          <w:ilvl w:val="0"/>
          <w:numId w:val="2"/>
        </w:numPr>
      </w:pPr>
      <w:r>
        <w:t>Footing excavations must be free of loose earth, tree roots, mud or debris immediately before pouring concrete.</w:t>
      </w:r>
    </w:p>
    <w:p w:rsidR="003A401B" w:rsidRDefault="003A401B" w:rsidP="003A401B">
      <w:pPr>
        <w:pStyle w:val="ListParagraph"/>
        <w:numPr>
          <w:ilvl w:val="0"/>
          <w:numId w:val="2"/>
        </w:numPr>
      </w:pPr>
      <w:r>
        <w:t>Topsoil containing grass roots must be removed from the area on which the footing will be.</w:t>
      </w:r>
    </w:p>
    <w:p w:rsidR="003A401B" w:rsidRDefault="003A401B" w:rsidP="003A401B">
      <w:pPr>
        <w:pStyle w:val="ListParagraph"/>
        <w:numPr>
          <w:ilvl w:val="0"/>
          <w:numId w:val="2"/>
        </w:numPr>
      </w:pPr>
      <w:r>
        <w:t xml:space="preserve">Excavation depths and soil cuts must comply with </w:t>
      </w:r>
      <w:r>
        <w:t>Part 3.1.1 in NCC Vol 2</w:t>
      </w:r>
    </w:p>
    <w:p w:rsidR="00765B4D" w:rsidRDefault="00765B4D" w:rsidP="003A401B">
      <w:pPr>
        <w:rPr>
          <w:b/>
          <w:bCs/>
        </w:rPr>
      </w:pPr>
      <w:r>
        <w:rPr>
          <w:b/>
          <w:bCs/>
        </w:rPr>
        <w:t>Filling under concrete slabs:</w:t>
      </w:r>
    </w:p>
    <w:p w:rsidR="00765B4D" w:rsidRDefault="00765B4D" w:rsidP="00765B4D">
      <w:pPr>
        <w:pStyle w:val="ListParagraph"/>
        <w:numPr>
          <w:ilvl w:val="0"/>
          <w:numId w:val="7"/>
        </w:numPr>
      </w:pPr>
      <w:r>
        <w:t>Filling must be either controlled fill or rolled fill as follows:</w:t>
      </w:r>
    </w:p>
    <w:p w:rsidR="00765B4D" w:rsidRDefault="00765B4D" w:rsidP="00765B4D">
      <w:pPr>
        <w:pStyle w:val="ListParagraph"/>
      </w:pPr>
      <w:r>
        <w:t>(</w:t>
      </w:r>
      <w:r>
        <w:t xml:space="preserve">a) </w:t>
      </w:r>
      <w:r>
        <w:t>Sand used in controlled fill or rolled fill must not contain any gravel size material and achieve a blow count of 7or more per 300 mm using the test method described in AS 1289.6.3.3.</w:t>
      </w:r>
    </w:p>
    <w:p w:rsidR="00765B4D" w:rsidRDefault="00765B4D" w:rsidP="00765B4D">
      <w:pPr>
        <w:pStyle w:val="ListParagraph"/>
        <w:numPr>
          <w:ilvl w:val="0"/>
          <w:numId w:val="8"/>
        </w:numPr>
      </w:pPr>
      <w:r>
        <w:t>Clay used in controlled fill or rolled fill must be moist during compaction.</w:t>
      </w:r>
    </w:p>
    <w:p w:rsidR="00765B4D" w:rsidRDefault="00765B4D" w:rsidP="00765B4D">
      <w:pPr>
        <w:pStyle w:val="ListParagraph"/>
        <w:numPr>
          <w:ilvl w:val="0"/>
          <w:numId w:val="8"/>
        </w:numPr>
      </w:pPr>
      <w:r>
        <w:t>Controlled fill:</w:t>
      </w:r>
    </w:p>
    <w:p w:rsidR="00765B4D" w:rsidRDefault="00765B4D" w:rsidP="00765B4D">
      <w:pPr>
        <w:pStyle w:val="ListParagraph"/>
        <w:numPr>
          <w:ilvl w:val="0"/>
          <w:numId w:val="9"/>
        </w:numPr>
      </w:pPr>
      <w:r>
        <w:t>Sand fill up to 800 mm deep — well compacted in layers not more than 300 mm deep by vibrating plate or</w:t>
      </w:r>
      <w:r>
        <w:t xml:space="preserve"> </w:t>
      </w:r>
      <w:r>
        <w:t>vibrating roller.</w:t>
      </w:r>
    </w:p>
    <w:p w:rsidR="00765B4D" w:rsidRDefault="00765B4D" w:rsidP="00765B4D">
      <w:pPr>
        <w:pStyle w:val="ListParagraph"/>
        <w:numPr>
          <w:ilvl w:val="0"/>
          <w:numId w:val="9"/>
        </w:numPr>
      </w:pPr>
      <w:r>
        <w:t>Clay fill up to 400 mm deep — well compacted in layers of not more than 150 mm by a mechanical roller.</w:t>
      </w:r>
    </w:p>
    <w:p w:rsidR="00765B4D" w:rsidRDefault="00765B4D" w:rsidP="00765B4D">
      <w:pPr>
        <w:pStyle w:val="ListParagraph"/>
        <w:numPr>
          <w:ilvl w:val="0"/>
          <w:numId w:val="8"/>
        </w:numPr>
      </w:pPr>
      <w:r>
        <w:t>Rolled fill:</w:t>
      </w:r>
    </w:p>
    <w:p w:rsidR="00765B4D" w:rsidRDefault="00765B4D" w:rsidP="00765B4D">
      <w:pPr>
        <w:pStyle w:val="ListParagraph"/>
        <w:numPr>
          <w:ilvl w:val="0"/>
          <w:numId w:val="10"/>
        </w:numPr>
      </w:pPr>
      <w:r>
        <w:t>S</w:t>
      </w:r>
      <w:r>
        <w:t>and fill up to 600 mm deep — compacted in layers of not more than 300 mm by repeated rolling by an</w:t>
      </w:r>
      <w:r>
        <w:t xml:space="preserve"> </w:t>
      </w:r>
      <w:r>
        <w:t>excavator or other suitable mechanical equipment.</w:t>
      </w:r>
    </w:p>
    <w:p w:rsidR="00765B4D" w:rsidRDefault="00765B4D" w:rsidP="00765B4D">
      <w:pPr>
        <w:pStyle w:val="ListParagraph"/>
        <w:numPr>
          <w:ilvl w:val="0"/>
          <w:numId w:val="10"/>
        </w:numPr>
      </w:pPr>
      <w:r>
        <w:t>Clay fill up to 300 mm deep — compacted in layers of not more than 150 mm by repeated rolling by an</w:t>
      </w:r>
      <w:r>
        <w:t xml:space="preserve"> </w:t>
      </w:r>
      <w:r>
        <w:t>excavator or similar machine.</w:t>
      </w:r>
    </w:p>
    <w:p w:rsidR="00765B4D" w:rsidRDefault="00765B4D" w:rsidP="00765B4D">
      <w:pPr>
        <w:pStyle w:val="ListParagraph"/>
        <w:numPr>
          <w:ilvl w:val="0"/>
          <w:numId w:val="8"/>
        </w:numPr>
      </w:pPr>
      <w:r>
        <w:t>A level layer of clean quarry sand must be placed on top of the fill, with a depth of not less than 20 mm.</w:t>
      </w:r>
    </w:p>
    <w:p w:rsidR="00765B4D" w:rsidRPr="00765B4D" w:rsidRDefault="00765B4D" w:rsidP="00765B4D">
      <w:pPr>
        <w:pStyle w:val="ListParagraph"/>
        <w:numPr>
          <w:ilvl w:val="0"/>
          <w:numId w:val="8"/>
        </w:numPr>
      </w:pPr>
      <w:bookmarkStart w:id="0" w:name="_GoBack"/>
      <w:r>
        <w:lastRenderedPageBreak/>
        <w:t xml:space="preserve">A graded stone termite management system complying with Part 3.1.4 may be </w:t>
      </w:r>
      <w:bookmarkEnd w:id="0"/>
      <w:r>
        <w:t>substituted for the sand required in</w:t>
      </w:r>
    </w:p>
    <w:p w:rsidR="00765B4D" w:rsidRDefault="00765B4D" w:rsidP="003A401B">
      <w:pPr>
        <w:rPr>
          <w:b/>
          <w:bCs/>
        </w:rPr>
      </w:pPr>
      <w:r>
        <w:rPr>
          <w:b/>
          <w:bCs/>
        </w:rPr>
        <w:t>Slab edge support on sloping sites:</w:t>
      </w:r>
    </w:p>
    <w:p w:rsidR="00765B4D" w:rsidRDefault="00765B4D" w:rsidP="00765B4D">
      <w:pPr>
        <w:pStyle w:val="ListParagraph"/>
        <w:numPr>
          <w:ilvl w:val="0"/>
          <w:numId w:val="11"/>
        </w:numPr>
      </w:pPr>
      <w:r>
        <w:t>Ensure the slap panels comply with Part 3.2.2.3 in NCC Vol 2</w:t>
      </w:r>
    </w:p>
    <w:p w:rsidR="00765B4D" w:rsidRPr="00765B4D" w:rsidRDefault="00765B4D" w:rsidP="00765B4D">
      <w:pPr>
        <w:pStyle w:val="ListParagraph"/>
        <w:numPr>
          <w:ilvl w:val="0"/>
          <w:numId w:val="11"/>
        </w:numPr>
      </w:pPr>
      <w:r>
        <w:t>Edge beams need to be supported by controlled fill, also by deepened edge beams or bulk piers.</w:t>
      </w:r>
    </w:p>
    <w:p w:rsidR="003A401B" w:rsidRPr="00B65476" w:rsidRDefault="003A401B" w:rsidP="003A401B">
      <w:pPr>
        <w:rPr>
          <w:b/>
          <w:bCs/>
        </w:rPr>
      </w:pPr>
      <w:r w:rsidRPr="00B65476">
        <w:rPr>
          <w:b/>
          <w:bCs/>
        </w:rPr>
        <w:t>Vapour barriers:</w:t>
      </w:r>
    </w:p>
    <w:p w:rsidR="003A401B" w:rsidRDefault="003A401B" w:rsidP="003A401B">
      <w:pPr>
        <w:pStyle w:val="ListParagraph"/>
        <w:numPr>
          <w:ilvl w:val="0"/>
          <w:numId w:val="5"/>
        </w:numPr>
      </w:pPr>
      <w:r>
        <w:t>Ensure a 0.2mm nominal thickness polyethylene fil, and medium impact resistant material is used.</w:t>
      </w:r>
    </w:p>
    <w:p w:rsidR="003A401B" w:rsidRDefault="003A401B" w:rsidP="003A401B">
      <w:pPr>
        <w:pStyle w:val="ListParagraph"/>
        <w:numPr>
          <w:ilvl w:val="0"/>
          <w:numId w:val="5"/>
        </w:numPr>
      </w:pPr>
      <w:r>
        <w:t xml:space="preserve">Ensure the vapour barrier does lap no less than 200mm at all joints and tape or seal with a </w:t>
      </w:r>
      <w:r w:rsidR="00B65476">
        <w:t>close-fitting</w:t>
      </w:r>
      <w:r>
        <w:t xml:space="preserve"> sleeve around all service penetration. Also fully seal where punctured.</w:t>
      </w:r>
    </w:p>
    <w:p w:rsidR="00B65476" w:rsidRDefault="00B65476" w:rsidP="003A401B">
      <w:pPr>
        <w:pStyle w:val="ListParagraph"/>
        <w:numPr>
          <w:ilvl w:val="0"/>
          <w:numId w:val="5"/>
        </w:numPr>
      </w:pPr>
      <w:r>
        <w:t>This must be placed beneath the slab, so the bottom surface of the slab is entirely underlaid and extenders under edge beams to finished at ground level.</w:t>
      </w:r>
    </w:p>
    <w:p w:rsidR="00B65476" w:rsidRPr="00765B4D" w:rsidRDefault="00B65476" w:rsidP="00B65476">
      <w:pPr>
        <w:rPr>
          <w:b/>
          <w:bCs/>
        </w:rPr>
      </w:pPr>
      <w:r w:rsidRPr="00765B4D">
        <w:rPr>
          <w:b/>
          <w:bCs/>
        </w:rPr>
        <w:t>Edge rebate:</w:t>
      </w:r>
    </w:p>
    <w:p w:rsidR="00B65476" w:rsidRDefault="00B65476" w:rsidP="00B65476">
      <w:pPr>
        <w:pStyle w:val="ListParagraph"/>
        <w:numPr>
          <w:ilvl w:val="0"/>
          <w:numId w:val="6"/>
        </w:numPr>
      </w:pPr>
      <w:r>
        <w:t>Ensure the edge rebate is no less than 20mm</w:t>
      </w:r>
    </w:p>
    <w:p w:rsidR="00AF7E49" w:rsidRDefault="00AF7E49" w:rsidP="00B65476">
      <w:pPr>
        <w:pStyle w:val="ListParagraph"/>
        <w:numPr>
          <w:ilvl w:val="0"/>
          <w:numId w:val="6"/>
        </w:numPr>
      </w:pPr>
      <w:r>
        <w:t>Ensure external masonry does not overhang more than 15mm past the edge of the slab.</w:t>
      </w:r>
    </w:p>
    <w:p w:rsidR="00AF7E49" w:rsidRDefault="00AF7E49" w:rsidP="00B65476">
      <w:pPr>
        <w:pStyle w:val="ListParagraph"/>
        <w:numPr>
          <w:ilvl w:val="0"/>
          <w:numId w:val="6"/>
        </w:numPr>
      </w:pPr>
      <w:r>
        <w:t>Ensure the edge rebate is flashed and drained (where it can not be flashed, it must be filled with mortar).</w:t>
      </w:r>
    </w:p>
    <w:p w:rsidR="00AF7E49" w:rsidRDefault="00AF7E49" w:rsidP="00AF7E49">
      <w:pPr>
        <w:pStyle w:val="Heading1"/>
        <w:rPr>
          <w:u w:val="single"/>
        </w:rPr>
      </w:pPr>
      <w:r w:rsidRPr="00AF7E49">
        <w:rPr>
          <w:u w:val="single"/>
        </w:rPr>
        <w:t>Concrete and reinforcing</w:t>
      </w:r>
    </w:p>
    <w:p w:rsidR="00AF7E49" w:rsidRPr="00D52B8A" w:rsidRDefault="00D52B8A" w:rsidP="00AF7E49">
      <w:pPr>
        <w:rPr>
          <w:b/>
          <w:bCs/>
        </w:rPr>
      </w:pPr>
      <w:r w:rsidRPr="00D52B8A">
        <w:rPr>
          <w:b/>
          <w:bCs/>
        </w:rPr>
        <w:t>Concrete:</w:t>
      </w:r>
    </w:p>
    <w:p w:rsidR="00D52B8A" w:rsidRDefault="00D52B8A" w:rsidP="00D52B8A">
      <w:pPr>
        <w:pStyle w:val="ListParagraph"/>
        <w:numPr>
          <w:ilvl w:val="0"/>
          <w:numId w:val="12"/>
        </w:numPr>
      </w:pPr>
      <w:r>
        <w:t>Concrete must be manufactured to comply with AS 3600</w:t>
      </w:r>
    </w:p>
    <w:p w:rsidR="00D52B8A" w:rsidRDefault="00D52B8A" w:rsidP="00D52B8A">
      <w:pPr>
        <w:pStyle w:val="ListParagraph"/>
        <w:numPr>
          <w:ilvl w:val="0"/>
          <w:numId w:val="12"/>
        </w:numPr>
      </w:pPr>
      <w:r>
        <w:t xml:space="preserve">Ensure it has a strength at 28 days of no less than 20MPa </w:t>
      </w:r>
    </w:p>
    <w:p w:rsidR="00D52B8A" w:rsidRDefault="00D52B8A" w:rsidP="00D52B8A">
      <w:pPr>
        <w:pStyle w:val="ListParagraph"/>
        <w:numPr>
          <w:ilvl w:val="0"/>
          <w:numId w:val="12"/>
        </w:numPr>
      </w:pPr>
      <w:r>
        <w:t>Ensure it has a 20mm max nominal aggregate size</w:t>
      </w:r>
    </w:p>
    <w:p w:rsidR="00D52B8A" w:rsidRDefault="00D52B8A" w:rsidP="00D52B8A">
      <w:pPr>
        <w:pStyle w:val="ListParagraph"/>
        <w:numPr>
          <w:ilvl w:val="0"/>
          <w:numId w:val="12"/>
        </w:numPr>
      </w:pPr>
      <w:r>
        <w:t>Ensure it has a nominal 100mm slump.</w:t>
      </w:r>
    </w:p>
    <w:p w:rsidR="00D52B8A" w:rsidRDefault="00D52B8A" w:rsidP="00D52B8A">
      <w:pPr>
        <w:pStyle w:val="ListParagraph"/>
        <w:numPr>
          <w:ilvl w:val="0"/>
          <w:numId w:val="12"/>
        </w:numPr>
      </w:pPr>
      <w:r>
        <w:t>Water must not be added to the mix too increase the slump to a value in excess of that specified.</w:t>
      </w:r>
    </w:p>
    <w:p w:rsidR="00D52B8A" w:rsidRDefault="00D52B8A" w:rsidP="00D52B8A">
      <w:pPr>
        <w:pStyle w:val="ListParagraph"/>
        <w:numPr>
          <w:ilvl w:val="0"/>
          <w:numId w:val="12"/>
        </w:numPr>
      </w:pPr>
      <w:r>
        <w:t>Concrete must be placed, compacted and cured in accordance with good building practice.</w:t>
      </w:r>
    </w:p>
    <w:p w:rsidR="00D52B8A" w:rsidRPr="00D52B8A" w:rsidRDefault="00D52B8A" w:rsidP="00D52B8A">
      <w:pPr>
        <w:rPr>
          <w:b/>
          <w:bCs/>
        </w:rPr>
      </w:pPr>
      <w:r w:rsidRPr="00D52B8A">
        <w:rPr>
          <w:b/>
          <w:bCs/>
        </w:rPr>
        <w:t>Steel reinforcement:</w:t>
      </w:r>
    </w:p>
    <w:p w:rsidR="00D52B8A" w:rsidRDefault="00D52B8A" w:rsidP="00D52B8A">
      <w:pPr>
        <w:pStyle w:val="ListParagraph"/>
        <w:numPr>
          <w:ilvl w:val="0"/>
          <w:numId w:val="13"/>
        </w:numPr>
      </w:pPr>
      <w:r>
        <w:t>Materials used for reinforcing steel must comply with AS 2870</w:t>
      </w:r>
    </w:p>
    <w:p w:rsidR="00D52B8A" w:rsidRDefault="00D52B8A" w:rsidP="00D52B8A">
      <w:pPr>
        <w:pStyle w:val="ListParagraph"/>
        <w:numPr>
          <w:ilvl w:val="0"/>
          <w:numId w:val="13"/>
        </w:numPr>
      </w:pPr>
      <w:r>
        <w:t>It must be welded wire reinforcing fabric; or</w:t>
      </w:r>
    </w:p>
    <w:p w:rsidR="00D52B8A" w:rsidRDefault="00D52B8A" w:rsidP="00D52B8A">
      <w:pPr>
        <w:pStyle w:val="ListParagraph"/>
        <w:numPr>
          <w:ilvl w:val="0"/>
          <w:numId w:val="13"/>
        </w:numPr>
      </w:pPr>
      <w:r>
        <w:t>Trench mesh; or</w:t>
      </w:r>
    </w:p>
    <w:p w:rsidR="00D52B8A" w:rsidRDefault="00D52B8A" w:rsidP="00D52B8A">
      <w:pPr>
        <w:pStyle w:val="ListParagraph"/>
        <w:numPr>
          <w:ilvl w:val="0"/>
          <w:numId w:val="13"/>
        </w:numPr>
      </w:pPr>
      <w:r>
        <w:t>Steel reinforcing bars</w:t>
      </w:r>
    </w:p>
    <w:p w:rsidR="00D52B8A" w:rsidRPr="00D52B8A" w:rsidRDefault="00D52B8A" w:rsidP="00D52B8A">
      <w:pPr>
        <w:pStyle w:val="Heading1"/>
        <w:rPr>
          <w:u w:val="single"/>
        </w:rPr>
      </w:pPr>
      <w:r w:rsidRPr="00D52B8A">
        <w:rPr>
          <w:u w:val="single"/>
        </w:rPr>
        <w:t>Site classification</w:t>
      </w:r>
    </w:p>
    <w:p w:rsidR="00D52B8A" w:rsidRDefault="009E0469" w:rsidP="00D52B8A">
      <w:r>
        <w:t>Dimensions and reinforcement for strip footing systems for Class S sites:</w:t>
      </w:r>
    </w:p>
    <w:p w:rsidR="009E0469" w:rsidRDefault="009E0469" w:rsidP="00D52B8A">
      <w:r w:rsidRPr="009E0469">
        <w:drawing>
          <wp:inline distT="0" distB="0" distL="0" distR="0">
            <wp:extent cx="5553075" cy="1104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469" w:rsidRDefault="009E0469" w:rsidP="009E0469">
      <w:pPr>
        <w:pStyle w:val="ListParagraph"/>
        <w:numPr>
          <w:ilvl w:val="0"/>
          <w:numId w:val="14"/>
        </w:numPr>
      </w:pPr>
      <w:r>
        <w:lastRenderedPageBreak/>
        <w:t>Ensure all masonry walls must be supported on strip footings.</w:t>
      </w:r>
    </w:p>
    <w:p w:rsidR="009E0469" w:rsidRDefault="009E0469" w:rsidP="009E0469">
      <w:pPr>
        <w:pStyle w:val="ListParagraph"/>
        <w:numPr>
          <w:ilvl w:val="0"/>
          <w:numId w:val="14"/>
        </w:numPr>
      </w:pPr>
      <w:r>
        <w:t>Internal strip footings must be of the same proportions as the external footings and run from external footing to</w:t>
      </w:r>
      <w:r>
        <w:t xml:space="preserve"> </w:t>
      </w:r>
      <w:r>
        <w:t>external footing. “Side slip joints” consisting of a double layer of polyethylene must be provided at the sides of the</w:t>
      </w:r>
      <w:r>
        <w:t xml:space="preserve"> </w:t>
      </w:r>
      <w:r>
        <w:t>footing only.</w:t>
      </w:r>
    </w:p>
    <w:p w:rsidR="009E0469" w:rsidRDefault="009E0469" w:rsidP="009E0469">
      <w:pPr>
        <w:pStyle w:val="ListParagraph"/>
        <w:numPr>
          <w:ilvl w:val="0"/>
          <w:numId w:val="14"/>
        </w:numPr>
      </w:pPr>
      <w:r>
        <w:t>Infill floors may be concrete slabs, brick paving, stone flags or compacted and stabilised earth. For concrete slab</w:t>
      </w:r>
      <w:r>
        <w:t xml:space="preserve"> </w:t>
      </w:r>
      <w:r>
        <w:t>infill panels, mesh may be required to control shrinkage in slab panels and around openings or restrained regions.</w:t>
      </w:r>
      <w:r>
        <w:t xml:space="preserve"> </w:t>
      </w:r>
      <w:proofErr w:type="gramStart"/>
      <w:r>
        <w:t>Concrete</w:t>
      </w:r>
      <w:proofErr w:type="gramEnd"/>
      <w:r>
        <w:t xml:space="preserve"> infill slabs must use a minimum of SL62 mesh to control shrinkage (see also 3.2.5.3).</w:t>
      </w:r>
    </w:p>
    <w:p w:rsidR="009E0469" w:rsidRDefault="009E0469" w:rsidP="009E0469">
      <w:pPr>
        <w:pStyle w:val="ListParagraph"/>
        <w:numPr>
          <w:ilvl w:val="0"/>
          <w:numId w:val="14"/>
        </w:numPr>
      </w:pPr>
      <w:r>
        <w:t>Where footings are wider than the specified width, an extra bottom bar or equivalent of the same bar size is required</w:t>
      </w:r>
      <w:r>
        <w:t xml:space="preserve"> </w:t>
      </w:r>
      <w:r>
        <w:t>for each 100 mm additional width. If strip footings deeper than those required are used, the reinforcement must be</w:t>
      </w:r>
      <w:r>
        <w:t xml:space="preserve"> </w:t>
      </w:r>
      <w:r>
        <w:t>increased to match that specified for the deepened proportions.</w:t>
      </w:r>
    </w:p>
    <w:p w:rsidR="009E0469" w:rsidRDefault="009E0469" w:rsidP="009E0469">
      <w:pPr>
        <w:pStyle w:val="ListParagraph"/>
        <w:numPr>
          <w:ilvl w:val="0"/>
          <w:numId w:val="14"/>
        </w:numPr>
      </w:pPr>
      <w:r>
        <w:t>The measurement of Df is greater or equal to D plus 75 mm.</w:t>
      </w:r>
    </w:p>
    <w:p w:rsidR="009E0469" w:rsidRPr="00AF7E49" w:rsidRDefault="009E0469" w:rsidP="009E0469">
      <w:pPr>
        <w:pStyle w:val="ListParagraph"/>
        <w:numPr>
          <w:ilvl w:val="0"/>
          <w:numId w:val="14"/>
        </w:numPr>
      </w:pPr>
      <w:r>
        <w:t>Alternative reinforcing sizes must comply with AS 2870.</w:t>
      </w:r>
    </w:p>
    <w:sectPr w:rsidR="009E0469" w:rsidRPr="00AF7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259D0"/>
    <w:multiLevelType w:val="hybridMultilevel"/>
    <w:tmpl w:val="065EA418"/>
    <w:lvl w:ilvl="0" w:tplc="9AC85DF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914E5"/>
    <w:multiLevelType w:val="hybridMultilevel"/>
    <w:tmpl w:val="4BAED03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45D43"/>
    <w:multiLevelType w:val="hybridMultilevel"/>
    <w:tmpl w:val="A05A3C0A"/>
    <w:lvl w:ilvl="0" w:tplc="74101A4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ADC651E"/>
    <w:multiLevelType w:val="hybridMultilevel"/>
    <w:tmpl w:val="6DE09A2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84935"/>
    <w:multiLevelType w:val="hybridMultilevel"/>
    <w:tmpl w:val="8CD4078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43748"/>
    <w:multiLevelType w:val="hybridMultilevel"/>
    <w:tmpl w:val="6BBC9BA6"/>
    <w:lvl w:ilvl="0" w:tplc="4EFA3E0A">
      <w:start w:val="2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1E7C9D"/>
    <w:multiLevelType w:val="hybridMultilevel"/>
    <w:tmpl w:val="DEFA9C6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B63BA2"/>
    <w:multiLevelType w:val="hybridMultilevel"/>
    <w:tmpl w:val="3F983676"/>
    <w:lvl w:ilvl="0" w:tplc="6CA8048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B03E45"/>
    <w:multiLevelType w:val="hybridMultilevel"/>
    <w:tmpl w:val="0C4C268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835BC"/>
    <w:multiLevelType w:val="hybridMultilevel"/>
    <w:tmpl w:val="7DA0CDF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D90F51"/>
    <w:multiLevelType w:val="hybridMultilevel"/>
    <w:tmpl w:val="43543D18"/>
    <w:lvl w:ilvl="0" w:tplc="AD62F540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9A76662"/>
    <w:multiLevelType w:val="hybridMultilevel"/>
    <w:tmpl w:val="600874E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E80ACA"/>
    <w:multiLevelType w:val="hybridMultilevel"/>
    <w:tmpl w:val="CA0A5CA0"/>
    <w:lvl w:ilvl="0" w:tplc="7322708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EE361C"/>
    <w:multiLevelType w:val="hybridMultilevel"/>
    <w:tmpl w:val="8C6465A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7"/>
  </w:num>
  <w:num w:numId="5">
    <w:abstractNumId w:val="4"/>
  </w:num>
  <w:num w:numId="6">
    <w:abstractNumId w:val="13"/>
  </w:num>
  <w:num w:numId="7">
    <w:abstractNumId w:val="11"/>
  </w:num>
  <w:num w:numId="8">
    <w:abstractNumId w:val="5"/>
  </w:num>
  <w:num w:numId="9">
    <w:abstractNumId w:val="10"/>
  </w:num>
  <w:num w:numId="10">
    <w:abstractNumId w:val="2"/>
  </w:num>
  <w:num w:numId="11">
    <w:abstractNumId w:val="12"/>
  </w:num>
  <w:num w:numId="12">
    <w:abstractNumId w:val="1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86A"/>
    <w:rsid w:val="00011E99"/>
    <w:rsid w:val="003A401B"/>
    <w:rsid w:val="00765B4D"/>
    <w:rsid w:val="007E551F"/>
    <w:rsid w:val="009E0469"/>
    <w:rsid w:val="00AF7E49"/>
    <w:rsid w:val="00B65476"/>
    <w:rsid w:val="00D52B8A"/>
    <w:rsid w:val="00F2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AA31D"/>
  <w15:chartTrackingRefBased/>
  <w15:docId w15:val="{988BED35-7552-4DC0-A193-C483D7D0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40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F2486A"/>
    <w:pPr>
      <w:pBdr>
        <w:top w:val="single" w:sz="4" w:space="10" w:color="92278F" w:themeColor="accent1"/>
        <w:bottom w:val="single" w:sz="4" w:space="10" w:color="92278F" w:themeColor="accent1"/>
      </w:pBdr>
      <w:spacing w:before="360" w:after="360"/>
      <w:ind w:left="864" w:right="864"/>
      <w:jc w:val="center"/>
    </w:pPr>
    <w:rPr>
      <w:i/>
      <w:iCs/>
      <w:color w:val="92278F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486A"/>
    <w:rPr>
      <w:i/>
      <w:iCs/>
      <w:color w:val="92278F" w:themeColor="accent1"/>
    </w:rPr>
  </w:style>
  <w:style w:type="paragraph" w:styleId="ListParagraph">
    <w:name w:val="List Paragraph"/>
    <w:basedOn w:val="Normal"/>
    <w:uiPriority w:val="34"/>
    <w:qFormat/>
    <w:rsid w:val="00F248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A401B"/>
    <w:rPr>
      <w:rFonts w:asciiTheme="majorHAnsi" w:eastAsiaTheme="majorEastAsia" w:hAnsiTheme="majorHAnsi" w:cstheme="majorBidi"/>
      <w:color w:val="6D1D6A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Violet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1</cp:revision>
  <dcterms:created xsi:type="dcterms:W3CDTF">2021-04-18T23:58:00Z</dcterms:created>
  <dcterms:modified xsi:type="dcterms:W3CDTF">2021-04-19T01:18:00Z</dcterms:modified>
</cp:coreProperties>
</file>