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spacing w:before="120" w:after="0" w:line="360" w:lineRule="auto"/>
        <w:jc w:val="both"/>
        <w:outlineLvl w:val="0"/>
        <w:rPr>
          <w:rFonts w:ascii="Arial" w:hAnsi="Arial" w:eastAsia="Times New Roman" w:cs="Arial"/>
          <w:b/>
          <w:bCs/>
          <w:color w:val="000000"/>
          <w:sz w:val="32"/>
          <w:szCs w:val="32"/>
          <w:lang w:eastAsia="en-AU"/>
        </w:rPr>
      </w:pPr>
      <w:r>
        <w:rPr>
          <w:rFonts w:ascii="Arial" w:hAnsi="Arial" w:eastAsia="Times New Roman" w:cs="Arial"/>
          <w:b/>
          <w:bCs/>
          <w:color w:val="000000"/>
          <w:sz w:val="32"/>
          <w:szCs w:val="32"/>
          <w:lang w:eastAsia="en-AU"/>
        </w:rPr>
        <w:t>Documentation of design and construction (suitability or evidence of suitability)</w:t>
      </w:r>
    </w:p>
    <w:tbl>
      <w:tblPr>
        <w:tblStyle w:val="7"/>
        <w:tblW w:w="14087" w:type="dxa"/>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7"/>
        <w:gridCol w:w="4296"/>
        <w:gridCol w:w="1232"/>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4087" w:type="dxa"/>
            <w:gridSpan w:val="4"/>
            <w:shd w:val="clear" w:color="auto" w:fill="FFFFFF"/>
            <w:vAlign w:val="center"/>
          </w:tcPr>
          <w:p>
            <w:pPr>
              <w:autoSpaceDE w:val="0"/>
              <w:autoSpaceDN w:val="0"/>
              <w:adjustRightInd w:val="0"/>
              <w:spacing w:before="144" w:beforeLines="60" w:after="144" w:afterLines="60" w:line="276" w:lineRule="auto"/>
              <w:jc w:val="both"/>
              <w:outlineLvl w:val="0"/>
              <w:rPr>
                <w:rFonts w:hint="default" w:ascii="Arial" w:hAnsi="Arial" w:eastAsia="宋体" w:cs="Arial"/>
                <w:bCs/>
                <w:color w:val="44546A"/>
                <w:sz w:val="20"/>
                <w:szCs w:val="20"/>
                <w:lang w:val="en-US" w:eastAsia="zh-CN"/>
              </w:rPr>
            </w:pPr>
            <w:r>
              <w:rPr>
                <w:rFonts w:ascii="Arial" w:hAnsi="Arial" w:eastAsia="Times New Roman" w:cs="Arial"/>
                <w:b/>
                <w:color w:val="000000"/>
                <w:sz w:val="20"/>
                <w:szCs w:val="20"/>
              </w:rPr>
              <w:t>Project Name:</w:t>
            </w:r>
            <w:r>
              <w:rPr>
                <w:rFonts w:ascii="Arial" w:hAnsi="Arial" w:eastAsia="Times New Roman" w:cs="Arial"/>
                <w:bCs/>
                <w:color w:val="44546A"/>
                <w:sz w:val="20"/>
                <w:szCs w:val="20"/>
              </w:rPr>
              <w:t xml:space="preserve"> </w:t>
            </w:r>
            <w:r>
              <w:rPr>
                <w:rFonts w:hint="eastAsia" w:ascii="Arial" w:hAnsi="Arial" w:eastAsia="宋体" w:cs="Arial"/>
                <w:bCs/>
                <w:color w:val="44546A"/>
                <w:sz w:val="20"/>
                <w:szCs w:val="20"/>
                <w:lang w:val="en-US" w:eastAsia="zh-CN"/>
              </w:rPr>
              <w:t>Granny flat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43" w:type="dxa"/>
            <w:gridSpan w:val="2"/>
            <w:shd w:val="clear" w:color="auto" w:fill="FFFFFF"/>
            <w:vAlign w:val="center"/>
          </w:tcPr>
          <w:p>
            <w:pPr>
              <w:autoSpaceDE w:val="0"/>
              <w:autoSpaceDN w:val="0"/>
              <w:adjustRightInd w:val="0"/>
              <w:spacing w:before="144" w:beforeLines="60" w:after="144" w:afterLines="60" w:line="276" w:lineRule="auto"/>
              <w:jc w:val="both"/>
              <w:outlineLvl w:val="0"/>
              <w:rPr>
                <w:rFonts w:hint="default" w:ascii="Arial" w:hAnsi="Arial" w:eastAsia="宋体" w:cs="Arial"/>
                <w:bCs/>
                <w:color w:val="000000"/>
                <w:sz w:val="20"/>
                <w:szCs w:val="20"/>
                <w:lang w:val="en-US" w:eastAsia="zh-CN"/>
              </w:rPr>
            </w:pPr>
            <w:r>
              <w:rPr>
                <w:rFonts w:ascii="Arial" w:hAnsi="Arial" w:eastAsia="Times New Roman" w:cs="Arial"/>
                <w:b/>
                <w:color w:val="000000"/>
                <w:sz w:val="20"/>
                <w:szCs w:val="20"/>
              </w:rPr>
              <w:t>Project address:</w:t>
            </w:r>
            <w:r>
              <w:rPr>
                <w:rFonts w:ascii="Arial" w:hAnsi="Arial" w:eastAsia="Times New Roman" w:cs="Arial"/>
                <w:bCs/>
                <w:color w:val="000000"/>
                <w:sz w:val="20"/>
                <w:szCs w:val="20"/>
              </w:rPr>
              <w:t xml:space="preserve"> </w:t>
            </w:r>
            <w:r>
              <w:rPr>
                <w:rFonts w:hint="eastAsia" w:ascii="Arial" w:hAnsi="Arial" w:eastAsia="宋体" w:cs="Arial"/>
                <w:bCs/>
                <w:color w:val="000000"/>
                <w:sz w:val="20"/>
                <w:szCs w:val="20"/>
                <w:lang w:val="en-US" w:eastAsia="zh-CN"/>
              </w:rPr>
              <w:t>95 Woodlands Road Gatton</w:t>
            </w:r>
          </w:p>
        </w:tc>
        <w:tc>
          <w:tcPr>
            <w:tcW w:w="7044" w:type="dxa"/>
            <w:gridSpan w:val="2"/>
            <w:shd w:val="clear" w:color="auto" w:fill="FFFFFF"/>
            <w:vAlign w:val="center"/>
          </w:tcPr>
          <w:p>
            <w:pPr>
              <w:autoSpaceDE w:val="0"/>
              <w:autoSpaceDN w:val="0"/>
              <w:adjustRightInd w:val="0"/>
              <w:spacing w:before="144" w:beforeLines="60" w:after="144" w:afterLines="60" w:line="276" w:lineRule="auto"/>
              <w:jc w:val="both"/>
              <w:outlineLvl w:val="0"/>
              <w:rPr>
                <w:rFonts w:hint="default" w:ascii="Arial" w:hAnsi="Arial" w:eastAsia="宋体" w:cs="Arial"/>
                <w:bCs/>
                <w:color w:val="000000"/>
                <w:sz w:val="20"/>
                <w:szCs w:val="20"/>
                <w:lang w:val="en-US" w:eastAsia="zh-CN"/>
              </w:rPr>
            </w:pPr>
            <w:r>
              <w:rPr>
                <w:rFonts w:ascii="Arial" w:hAnsi="Arial" w:eastAsia="Times New Roman" w:cs="Arial"/>
                <w:b/>
                <w:color w:val="000000"/>
                <w:sz w:val="20"/>
                <w:szCs w:val="20"/>
              </w:rPr>
              <w:t>Site Plan attached:</w:t>
            </w:r>
            <w:r>
              <w:rPr>
                <w:rFonts w:ascii="Arial" w:hAnsi="Arial" w:eastAsia="Times New Roman" w:cs="Arial"/>
                <w:bCs/>
                <w:color w:val="000000"/>
                <w:sz w:val="20"/>
                <w:szCs w:val="20"/>
              </w:rPr>
              <w:t xml:space="preserve"> </w:t>
            </w:r>
            <w:r>
              <w:rPr>
                <w:rFonts w:hint="eastAsia" w:ascii="Arial" w:hAnsi="Arial" w:eastAsia="宋体" w:cs="Arial"/>
                <w:bCs/>
                <w:color w:val="000000"/>
                <w:sz w:val="20"/>
                <w:szCs w:val="20"/>
                <w:lang w:val="en-US" w:eastAsia="zh-CN"/>
              </w:rPr>
              <w:t>Yes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4087" w:type="dxa"/>
            <w:gridSpan w:val="4"/>
            <w:shd w:val="clear" w:color="auto" w:fill="FFFFFF"/>
            <w:vAlign w:val="center"/>
          </w:tcPr>
          <w:p>
            <w:pPr>
              <w:autoSpaceDE w:val="0"/>
              <w:autoSpaceDN w:val="0"/>
              <w:adjustRightInd w:val="0"/>
              <w:spacing w:before="144" w:beforeLines="60" w:after="144" w:afterLines="60" w:line="276" w:lineRule="auto"/>
              <w:jc w:val="both"/>
              <w:rPr>
                <w:rFonts w:hint="default" w:ascii="Arial" w:hAnsi="Arial" w:eastAsia="宋体" w:cs="Arial"/>
                <w:bCs/>
                <w:vanish/>
                <w:color w:val="44546A" w:themeColor="text2"/>
                <w:sz w:val="20"/>
                <w:szCs w:val="20"/>
                <w:lang w:val="en-US" w:eastAsia="zh-CN"/>
                <w14:textFill>
                  <w14:solidFill>
                    <w14:schemeClr w14:val="tx2"/>
                  </w14:solidFill>
                </w14:textFill>
              </w:rPr>
            </w:pPr>
            <w:r>
              <w:rPr>
                <w:rFonts w:ascii="Arial" w:hAnsi="Arial" w:eastAsia="Times New Roman" w:cs="Arial"/>
                <w:b/>
                <w:color w:val="000000"/>
                <w:sz w:val="20"/>
                <w:szCs w:val="20"/>
              </w:rPr>
              <w:t>Prepared by:</w:t>
            </w:r>
            <w:r>
              <w:rPr>
                <w:rFonts w:ascii="Arial" w:hAnsi="Arial" w:eastAsia="Times New Roman" w:cs="Arial"/>
                <w:bCs/>
                <w:color w:val="44546A"/>
                <w:sz w:val="20"/>
                <w:szCs w:val="20"/>
              </w:rPr>
              <w:t xml:space="preserve"> </w:t>
            </w:r>
            <w:r>
              <w:rPr>
                <w:rFonts w:hint="eastAsia" w:ascii="Arial" w:hAnsi="Arial" w:eastAsia="宋体" w:cs="Arial"/>
                <w:bCs/>
                <w:color w:val="44546A"/>
                <w:sz w:val="20"/>
                <w:szCs w:val="20"/>
                <w:lang w:val="en-US" w:eastAsia="zh-CN"/>
              </w:rPr>
              <w:t>Dawn Construction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4087" w:type="dxa"/>
            <w:gridSpan w:val="4"/>
            <w:shd w:val="clear" w:color="auto" w:fill="FFFFFF"/>
            <w:vAlign w:val="center"/>
          </w:tcPr>
          <w:p>
            <w:pPr>
              <w:autoSpaceDE w:val="0"/>
              <w:autoSpaceDN w:val="0"/>
              <w:adjustRightInd w:val="0"/>
              <w:spacing w:before="144" w:beforeLines="60" w:after="144" w:afterLines="60" w:line="276" w:lineRule="auto"/>
              <w:jc w:val="both"/>
              <w:outlineLvl w:val="0"/>
              <w:rPr>
                <w:rFonts w:hint="default" w:ascii="Arial" w:hAnsi="Arial" w:eastAsia="宋体" w:cs="Arial"/>
                <w:bCs/>
                <w:color w:val="44546A"/>
                <w:sz w:val="20"/>
                <w:szCs w:val="20"/>
                <w:lang w:val="en-US" w:eastAsia="zh-CN"/>
              </w:rPr>
            </w:pPr>
            <w:r>
              <w:rPr>
                <w:rFonts w:ascii="Arial" w:hAnsi="Arial" w:eastAsia="Times New Roman" w:cs="Arial"/>
                <w:b/>
                <w:color w:val="000000"/>
                <w:sz w:val="20"/>
                <w:szCs w:val="20"/>
              </w:rPr>
              <w:t>Date:</w:t>
            </w:r>
            <w:r>
              <w:rPr>
                <w:rFonts w:ascii="Arial" w:hAnsi="Arial" w:eastAsia="Times New Roman" w:cs="Arial"/>
                <w:bCs/>
                <w:color w:val="44546A"/>
                <w:sz w:val="20"/>
                <w:szCs w:val="20"/>
              </w:rPr>
              <w:t xml:space="preserve"> </w:t>
            </w:r>
            <w:r>
              <w:rPr>
                <w:rFonts w:hint="eastAsia" w:ascii="Arial" w:hAnsi="Arial" w:eastAsia="宋体" w:cs="Arial"/>
                <w:bCs/>
                <w:color w:val="44546A"/>
                <w:sz w:val="20"/>
                <w:szCs w:val="20"/>
                <w:lang w:val="en-US" w:eastAsia="zh-CN"/>
              </w:rPr>
              <w:t>19/11/2023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0" w:hRule="atLeast"/>
        </w:trPr>
        <w:tc>
          <w:tcPr>
            <w:tcW w:w="14087" w:type="dxa"/>
            <w:gridSpan w:val="4"/>
            <w:shd w:val="clear" w:color="auto" w:fill="FFFFFF"/>
          </w:tcPr>
          <w:p>
            <w:pPr>
              <w:autoSpaceDE w:val="0"/>
              <w:autoSpaceDN w:val="0"/>
              <w:adjustRightInd w:val="0"/>
              <w:spacing w:before="144" w:beforeLines="60" w:after="144" w:afterLines="60" w:line="276" w:lineRule="auto"/>
              <w:outlineLvl w:val="0"/>
              <w:rPr>
                <w:rFonts w:ascii="Arial" w:hAnsi="Arial" w:eastAsia="Times New Roman" w:cs="Arial"/>
                <w:b/>
                <w:color w:val="000000"/>
                <w:sz w:val="20"/>
                <w:szCs w:val="20"/>
              </w:rPr>
            </w:pPr>
            <w:r>
              <w:rPr>
                <w:rFonts w:ascii="Arial" w:hAnsi="Arial" w:eastAsia="Times New Roman" w:cs="Arial"/>
                <w:b/>
                <w:color w:val="000000"/>
                <w:sz w:val="20"/>
                <w:szCs w:val="20"/>
              </w:rPr>
              <w:t>Description of project:</w:t>
            </w:r>
          </w:p>
          <w:p>
            <w:pPr>
              <w:autoSpaceDE w:val="0"/>
              <w:autoSpaceDN w:val="0"/>
              <w:adjustRightInd w:val="0"/>
              <w:spacing w:before="144" w:beforeLines="60" w:after="144" w:afterLines="60" w:line="276" w:lineRule="auto"/>
              <w:outlineLvl w:val="0"/>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Building a new granny Falt at the back of house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0" w:hRule="atLeast"/>
        </w:trPr>
        <w:tc>
          <w:tcPr>
            <w:tcW w:w="14087" w:type="dxa"/>
            <w:gridSpan w:val="4"/>
            <w:shd w:val="clear" w:color="auto" w:fill="FFFFFF"/>
          </w:tcPr>
          <w:p>
            <w:pPr>
              <w:autoSpaceDE w:val="0"/>
              <w:autoSpaceDN w:val="0"/>
              <w:adjustRightInd w:val="0"/>
              <w:spacing w:before="144" w:beforeLines="60" w:after="144" w:afterLines="60" w:line="276" w:lineRule="auto"/>
              <w:outlineLvl w:val="0"/>
              <w:rPr>
                <w:rFonts w:ascii="Arial" w:hAnsi="Arial" w:eastAsia="Times New Roman" w:cs="Arial"/>
                <w:b/>
                <w:color w:val="000000"/>
                <w:sz w:val="20"/>
                <w:szCs w:val="20"/>
              </w:rPr>
            </w:pPr>
            <w:r>
              <w:rPr>
                <w:rFonts w:ascii="Arial" w:hAnsi="Arial" w:eastAsia="Times New Roman" w:cs="Arial"/>
                <w:b/>
                <w:color w:val="000000"/>
                <w:sz w:val="20"/>
                <w:szCs w:val="20"/>
              </w:rPr>
              <w:t>Site Classification/s:</w:t>
            </w:r>
          </w:p>
          <w:p>
            <w:pPr>
              <w:autoSpaceDE w:val="0"/>
              <w:autoSpaceDN w:val="0"/>
              <w:adjustRightInd w:val="0"/>
              <w:spacing w:before="144" w:beforeLines="60" w:after="144" w:afterLines="60" w:line="276" w:lineRule="auto"/>
              <w:outlineLvl w:val="0"/>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Class 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Cs/>
                <w:color w:val="44546A" w:themeColor="text2"/>
                <w:sz w:val="20"/>
                <w:szCs w:val="20"/>
                <w14:textFill>
                  <w14:solidFill>
                    <w14:schemeClr w14:val="tx2"/>
                  </w14:solidFill>
                </w14:textFill>
              </w:rPr>
            </w:pPr>
            <w:r>
              <w:rPr>
                <w:rFonts w:ascii="Arial" w:hAnsi="Arial" w:eastAsia="Times New Roman" w:cs="Arial"/>
                <w:b/>
                <w:color w:val="000000"/>
                <w:sz w:val="20"/>
                <w:szCs w:val="20"/>
              </w:rPr>
              <w:t>Documentation of design and construction (suitability or evidence of suitability)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Earthworks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The provisions in Part 3.1.1 will enable earthworks associated with the construction of a building to be carried out safely and to avoid potential damage to the subject building, adjoining structures and property through the soil collapsing or subsiding.</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 xml:space="preserve"> Site cut and fill using un-retained embankments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Earth retaining structures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AS 4678 contains requirements for earth retaining structures between 800 mm and 15 m in height, and does not apply to structures which are founded in exceptional site conditions (e.g. landslips), are subjected to sustained cyclic loading or are used for the purposes of water-retaining (e.g. dams and reservoirs).</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Follow the engineer suggestion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Drainage</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The ground beneath suspended floors must be graded so that the area beneath the building is above the adjacent external finished ground level and surface water is prevented from ponding under the building</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Fall in finished external surface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Termite risk management</w:t>
            </w:r>
          </w:p>
        </w:tc>
        <w:tc>
          <w:tcPr>
            <w:tcW w:w="5528" w:type="dxa"/>
            <w:gridSpan w:val="2"/>
            <w:shd w:val="clear" w:color="auto" w:fill="auto"/>
          </w:tcPr>
          <w:p>
            <w:pPr>
              <w:numPr>
                <w:ilvl w:val="0"/>
                <w:numId w:val="1"/>
              </w:numPr>
              <w:spacing w:before="144" w:beforeLines="60" w:after="144" w:afterLines="60" w:line="276" w:lineRule="auto"/>
              <w:rPr>
                <w:rFonts w:hint="eastAsia" w:ascii="Arial" w:hAnsi="Arial" w:eastAsia="Times New Roman" w:cs="Arial"/>
                <w:bCs/>
                <w:color w:val="000000"/>
                <w:sz w:val="20"/>
                <w:szCs w:val="20"/>
              </w:rPr>
            </w:pPr>
            <w:r>
              <w:rPr>
                <w:rFonts w:hint="eastAsia" w:ascii="Arial" w:hAnsi="Arial" w:eastAsia="Times New Roman" w:cs="Arial"/>
                <w:bCs/>
                <w:color w:val="000000"/>
                <w:sz w:val="20"/>
                <w:szCs w:val="20"/>
              </w:rPr>
              <w:t>a Class 1 or 10 building is constructed in an area where subterranean termites are known to present a potential risk of attack; and</w:t>
            </w:r>
          </w:p>
          <w:p>
            <w:pPr>
              <w:numPr>
                <w:ilvl w:val="0"/>
                <w:numId w:val="1"/>
              </w:numPr>
              <w:spacing w:before="144" w:beforeLines="60" w:after="144" w:afterLines="60" w:line="276" w:lineRule="auto"/>
              <w:ind w:left="0" w:leftChars="0" w:firstLine="0" w:firstLineChars="0"/>
              <w:rPr>
                <w:rFonts w:ascii="Arial" w:hAnsi="Arial" w:eastAsia="Times New Roman" w:cs="Arial"/>
                <w:bCs/>
                <w:color w:val="000000"/>
                <w:sz w:val="20"/>
                <w:szCs w:val="20"/>
              </w:rPr>
            </w:pPr>
            <w:r>
              <w:rPr>
                <w:rFonts w:hint="eastAsia" w:ascii="Arial" w:hAnsi="Arial" w:eastAsia="Times New Roman" w:cs="Arial"/>
                <w:bCs/>
                <w:color w:val="000000"/>
                <w:sz w:val="20"/>
                <w:szCs w:val="20"/>
              </w:rPr>
              <w:t>a primary building element of a Class 1 or 10 building is considered susceptible to termite attack.</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Install termite management sysytem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Suspended floors</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Sheet material</w:t>
            </w:r>
            <w:r>
              <w:rPr>
                <w:rFonts w:hint="eastAsia" w:ascii="Arial" w:hAnsi="Arial" w:eastAsia="宋体" w:cs="Arial"/>
                <w:bCs/>
                <w:color w:val="000000"/>
                <w:sz w:val="20"/>
                <w:szCs w:val="20"/>
                <w:lang w:val="en-US" w:eastAsia="zh-CN"/>
              </w:rPr>
              <w:t xml:space="preserve"> </w:t>
            </w:r>
            <w:r>
              <w:rPr>
                <w:rFonts w:hint="eastAsia" w:ascii="Arial" w:hAnsi="Arial" w:eastAsia="Times New Roman" w:cs="Arial"/>
                <w:bCs/>
                <w:color w:val="000000"/>
                <w:sz w:val="20"/>
                <w:szCs w:val="20"/>
              </w:rPr>
              <w:t>Granular material</w:t>
            </w:r>
            <w:r>
              <w:rPr>
                <w:rFonts w:hint="eastAsia" w:ascii="Arial" w:hAnsi="Arial" w:eastAsia="宋体" w:cs="Arial"/>
                <w:bCs/>
                <w:color w:val="000000"/>
                <w:sz w:val="20"/>
                <w:szCs w:val="20"/>
                <w:lang w:val="en-US" w:eastAsia="zh-CN"/>
              </w:rPr>
              <w:t xml:space="preserve"> </w:t>
            </w:r>
            <w:r>
              <w:rPr>
                <w:rFonts w:hint="eastAsia" w:ascii="Arial" w:hAnsi="Arial" w:eastAsia="Times New Roman" w:cs="Arial"/>
                <w:bCs/>
                <w:color w:val="000000"/>
                <w:sz w:val="20"/>
                <w:szCs w:val="20"/>
              </w:rPr>
              <w:t>Chemical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Footings and slabs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4087" w:type="dxa"/>
            <w:gridSpan w:val="4"/>
            <w:shd w:val="clear" w:color="auto" w:fill="auto"/>
          </w:tcPr>
          <w:p>
            <w:pPr>
              <w:spacing w:before="144" w:beforeLines="60" w:after="144" w:afterLines="60" w:line="276" w:lineRule="auto"/>
              <w:rPr>
                <w:rFonts w:ascii="Arial" w:hAnsi="Arial" w:eastAsia="Times New Roman" w:cs="Arial"/>
                <w:bCs/>
                <w:color w:val="000000"/>
                <w:sz w:val="20"/>
                <w:szCs w:val="20"/>
              </w:rPr>
            </w:pPr>
            <w:r>
              <w:rPr>
                <w:rFonts w:ascii="Arial" w:hAnsi="Arial" w:eastAsia="Times New Roman" w:cs="Arial"/>
                <w:b/>
                <w:color w:val="000000"/>
                <w:sz w:val="20"/>
                <w:szCs w:val="20"/>
              </w:rPr>
              <w:t>Site classification:</w:t>
            </w:r>
            <w:r>
              <w:rPr>
                <w:rFonts w:ascii="Arial" w:hAnsi="Arial" w:eastAsia="Times New Roman" w:cs="Arial"/>
                <w:bCs/>
                <w:color w:val="000000"/>
                <w:sz w:val="20"/>
                <w:szCs w:val="2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Footings and slabs</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Footings and slabs</w:t>
            </w:r>
          </w:p>
        </w:tc>
        <w:tc>
          <w:tcPr>
            <w:tcW w:w="5528" w:type="dxa"/>
            <w:gridSpan w:val="2"/>
            <w:shd w:val="clear" w:color="auto" w:fill="auto"/>
          </w:tcPr>
          <w:p>
            <w:pPr>
              <w:keepNext w:val="0"/>
              <w:keepLines w:val="0"/>
              <w:widowControl/>
              <w:suppressLineNumbers w:val="0"/>
              <w:shd w:val="clear" w:fill="FFFFFF"/>
              <w:ind w:left="0" w:firstLine="0"/>
              <w:jc w:val="left"/>
            </w:pPr>
            <w:r>
              <w:rPr>
                <w:rFonts w:hint="default" w:ascii="Arial" w:hAnsi="Arial" w:eastAsia="Arial" w:cs="Arial"/>
                <w:i w:val="0"/>
                <w:iCs w:val="0"/>
                <w:caps w:val="0"/>
                <w:color w:val="333333"/>
                <w:spacing w:val="0"/>
                <w:kern w:val="0"/>
                <w:sz w:val="24"/>
                <w:szCs w:val="24"/>
                <w:shd w:val="clear" w:fill="FFFFFF"/>
                <w:lang w:val="en-US" w:eastAsia="zh-CN" w:bidi="ar"/>
              </w:rPr>
              <w:t>(a)</w:t>
            </w:r>
            <w:r>
              <w:rPr>
                <w:rFonts w:hint="default" w:ascii="Arial" w:hAnsi="Arial" w:eastAsia="Arial" w:cs="Arial"/>
                <w:i w:val="0"/>
                <w:iCs w:val="0"/>
                <w:caps w:val="0"/>
                <w:color w:val="333333"/>
                <w:spacing w:val="0"/>
                <w:sz w:val="24"/>
                <w:szCs w:val="24"/>
                <w:shd w:val="clear" w:fill="FFFFFF"/>
              </w:rPr>
              <w:t>The footing or slab is constructed in accordance with AS 2870.</w:t>
            </w:r>
          </w:p>
          <w:p>
            <w:pPr>
              <w:keepNext w:val="0"/>
              <w:keepLines w:val="0"/>
              <w:widowControl/>
              <w:suppressLineNumbers w:val="0"/>
              <w:shd w:val="clear" w:fill="FFFFFF"/>
              <w:ind w:left="0" w:firstLine="0"/>
              <w:jc w:val="left"/>
            </w:pPr>
            <w:r>
              <w:rPr>
                <w:rFonts w:hint="default" w:ascii="Arial" w:hAnsi="Arial" w:eastAsia="Arial" w:cs="Arial"/>
                <w:i w:val="0"/>
                <w:iCs w:val="0"/>
                <w:caps w:val="0"/>
                <w:color w:val="333333"/>
                <w:spacing w:val="0"/>
                <w:kern w:val="0"/>
                <w:sz w:val="24"/>
                <w:szCs w:val="24"/>
                <w:shd w:val="clear" w:fill="FFFFFF"/>
                <w:lang w:val="en-US" w:eastAsia="zh-CN" w:bidi="ar"/>
              </w:rPr>
              <w:t>(b)</w:t>
            </w:r>
            <w:r>
              <w:rPr>
                <w:rFonts w:hint="default" w:ascii="Arial" w:hAnsi="Arial" w:eastAsia="Arial" w:cs="Arial"/>
                <w:i w:val="0"/>
                <w:iCs w:val="0"/>
                <w:caps w:val="0"/>
                <w:color w:val="333333"/>
                <w:spacing w:val="0"/>
                <w:sz w:val="24"/>
                <w:szCs w:val="24"/>
                <w:shd w:val="clear" w:fill="FFFFFF"/>
              </w:rPr>
              <w:t>Piled footings are designed in accordance with AS 2159.</w:t>
            </w:r>
          </w:p>
          <w:p>
            <w:pPr>
              <w:spacing w:before="144" w:beforeLines="60" w:after="144" w:afterLines="60" w:line="276" w:lineRule="auto"/>
              <w:rPr>
                <w:rFonts w:ascii="Arial" w:hAnsi="Arial" w:eastAsia="Times New Roman" w:cs="Arial"/>
                <w:bCs/>
                <w:color w:val="000000"/>
                <w:sz w:val="20"/>
                <w:szCs w:val="20"/>
              </w:rPr>
            </w:pP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Sand used in controlled fill or rolled fill must not contain any gravel size material and achieve a blow count of 7 or more per 300 mm using the test method described in AS 1289.6.3.3.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Footings and slabs</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Moisture Barrier</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 vapour barrier must be installed under slab-on-ground construction for a Class 1 building and for a Class 10 building where the slab is continuous with the slab of a Class 1 building in accordance with (2), (3), (4) and (5).</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Barrier installation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default" w:ascii="Arial" w:hAnsi="Arial" w:eastAsia="宋体" w:cs="Arial"/>
                <w:bCs/>
                <w:color w:val="000000"/>
                <w:sz w:val="20"/>
                <w:szCs w:val="20"/>
                <w:lang w:val="en-US" w:eastAsia="zh-CN"/>
              </w:rPr>
              <w:t>0.2 mm nominal thickness polyethylene film</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Fully seal where punctured (unless for service penetrations) with additional polyethylene film and tape.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Concrete and reinforcement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Concrete and reinforcement</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Concrete and reinforcement</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Concrete must be placed, compacted and cured in accordance with good building practice.</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Care should be taken when using chemical curing methods, because some products may not be compatible with adhesives used to fix surface finishes to the slab.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ascii="Arial" w:hAnsi="Arial" w:eastAsia="Arial" w:cs="Arial"/>
                <w:i w:val="0"/>
                <w:iCs w:val="0"/>
                <w:caps w:val="0"/>
                <w:color w:val="333333"/>
                <w:spacing w:val="0"/>
                <w:sz w:val="24"/>
                <w:szCs w:val="24"/>
                <w:shd w:val="clear" w:fill="FFFFFF"/>
              </w:rPr>
              <w:t>Steel reinforcing bars</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One outer bar must be bent and continue 500 mm (min) around corner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Masonry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Masonry</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Masonry</w:t>
            </w:r>
          </w:p>
        </w:tc>
        <w:tc>
          <w:tcPr>
            <w:tcW w:w="5528" w:type="dxa"/>
            <w:gridSpan w:val="2"/>
            <w:shd w:val="clear" w:color="auto" w:fill="auto"/>
          </w:tcPr>
          <w:p>
            <w:pPr>
              <w:pStyle w:val="6"/>
              <w:keepNext w:val="0"/>
              <w:keepLines w:val="0"/>
              <w:widowControl/>
              <w:suppressLineNumbers w:val="0"/>
              <w:shd w:val="clear" w:fill="FFFFFF"/>
              <w:ind w:left="0" w:firstLine="0"/>
              <w:rPr>
                <w:rFonts w:ascii="Arial" w:hAnsi="Arial" w:eastAsia="Arial" w:cs="Arial"/>
                <w:i w:val="0"/>
                <w:iCs w:val="0"/>
                <w:caps w:val="0"/>
                <w:color w:val="333333"/>
                <w:spacing w:val="0"/>
                <w:sz w:val="24"/>
                <w:szCs w:val="24"/>
              </w:rPr>
            </w:pP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"https://ncc.abcb.gov.au/editions/2019-a1/ncc-2019-volume-three-amendment-1/schedule-3-defined-terms/schedule-3-definitions" \l "idf6f08d0e-4e30-4292-a68f-2684bc97e771" </w:instrText>
            </w:r>
            <w:r>
              <w:rPr>
                <w:rFonts w:hint="default" w:ascii="Arial" w:hAnsi="Arial" w:eastAsia="Arial" w:cs="Arial"/>
                <w:i w:val="0"/>
                <w:iCs w:val="0"/>
                <w:caps w:val="0"/>
                <w:spacing w:val="0"/>
                <w:sz w:val="24"/>
                <w:szCs w:val="24"/>
                <w:u w:val="single"/>
                <w:shd w:val="clear" w:fill="FFFFFF"/>
              </w:rPr>
              <w:fldChar w:fldCharType="separate"/>
            </w:r>
            <w:r>
              <w:rPr>
                <w:rStyle w:val="9"/>
                <w:rFonts w:hint="default" w:ascii="Arial" w:hAnsi="Arial" w:eastAsia="Arial" w:cs="Arial"/>
                <w:i/>
                <w:iCs/>
                <w:caps w:val="0"/>
                <w:spacing w:val="0"/>
                <w:sz w:val="24"/>
                <w:szCs w:val="24"/>
                <w:u w:val="single"/>
                <w:shd w:val="clear" w:fill="FFFFFF"/>
              </w:rPr>
              <w:t>unreinforced masonry</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 (including masonry-veneer) if it is designed and constructed in accordance with one of the following:</w:t>
            </w:r>
          </w:p>
          <w:p>
            <w:pPr>
              <w:keepNext w:val="0"/>
              <w:keepLines w:val="0"/>
              <w:widowControl/>
              <w:suppressLineNumbers w:val="0"/>
              <w:shd w:val="clear" w:fill="FFFFFF"/>
              <w:ind w:left="0" w:firstLine="0"/>
              <w:jc w:val="left"/>
              <w:rPr>
                <w:rFonts w:hint="default" w:ascii="Arial" w:hAnsi="Arial" w:eastAsia="Arial" w:cs="Arial"/>
                <w:i w:val="0"/>
                <w:iCs w:val="0"/>
                <w:caps w:val="0"/>
                <w:color w:val="333333"/>
                <w:spacing w:val="0"/>
                <w:sz w:val="24"/>
                <w:szCs w:val="24"/>
              </w:rPr>
            </w:pPr>
            <w:r>
              <w:rPr>
                <w:rFonts w:hint="default" w:ascii="Arial" w:hAnsi="Arial" w:eastAsia="Arial" w:cs="Arial"/>
                <w:i w:val="0"/>
                <w:iCs w:val="0"/>
                <w:caps w:val="0"/>
                <w:color w:val="333333"/>
                <w:spacing w:val="0"/>
                <w:kern w:val="0"/>
                <w:sz w:val="24"/>
                <w:szCs w:val="24"/>
                <w:shd w:val="clear" w:fill="FFFFFF"/>
                <w:lang w:val="en-US" w:eastAsia="zh-CN" w:bidi="ar"/>
              </w:rPr>
              <w:t>(a)</w:t>
            </w:r>
          </w:p>
          <w:p>
            <w:pPr>
              <w:pStyle w:val="6"/>
              <w:keepNext w:val="0"/>
              <w:keepLines w:val="0"/>
              <w:widowControl/>
              <w:suppressLineNumbers w:val="0"/>
            </w:pPr>
            <w:r>
              <w:rPr>
                <w:rFonts w:hint="default" w:ascii="Arial" w:hAnsi="Arial" w:eastAsia="Arial" w:cs="Arial"/>
                <w:i w:val="0"/>
                <w:iCs w:val="0"/>
                <w:caps w:val="0"/>
                <w:color w:val="333333"/>
                <w:spacing w:val="0"/>
                <w:sz w:val="24"/>
                <w:szCs w:val="24"/>
                <w:shd w:val="clear" w:fill="FFFFFF"/>
              </w:rPr>
              <w:t>AS 3700.</w:t>
            </w:r>
          </w:p>
          <w:p>
            <w:pPr>
              <w:keepNext w:val="0"/>
              <w:keepLines w:val="0"/>
              <w:widowControl/>
              <w:suppressLineNumbers w:val="0"/>
              <w:shd w:val="clear" w:fill="FFFFFF"/>
              <w:ind w:left="0" w:firstLine="0"/>
              <w:jc w:val="left"/>
              <w:rPr>
                <w:rFonts w:hint="default" w:ascii="Arial" w:hAnsi="Arial" w:eastAsia="Arial" w:cs="Arial"/>
                <w:i w:val="0"/>
                <w:iCs w:val="0"/>
                <w:caps w:val="0"/>
                <w:color w:val="333333"/>
                <w:spacing w:val="0"/>
                <w:sz w:val="24"/>
                <w:szCs w:val="24"/>
              </w:rPr>
            </w:pPr>
            <w:r>
              <w:rPr>
                <w:rFonts w:hint="default" w:ascii="Arial" w:hAnsi="Arial" w:eastAsia="Arial" w:cs="Arial"/>
                <w:i w:val="0"/>
                <w:iCs w:val="0"/>
                <w:caps w:val="0"/>
                <w:color w:val="333333"/>
                <w:spacing w:val="0"/>
                <w:kern w:val="0"/>
                <w:sz w:val="24"/>
                <w:szCs w:val="24"/>
                <w:shd w:val="clear" w:fill="FFFFFF"/>
                <w:lang w:val="en-US" w:eastAsia="zh-CN" w:bidi="ar"/>
              </w:rPr>
              <w:t>(b)</w:t>
            </w:r>
          </w:p>
          <w:p>
            <w:pPr>
              <w:pStyle w:val="6"/>
              <w:keepNext w:val="0"/>
              <w:keepLines w:val="0"/>
              <w:widowControl/>
              <w:suppressLineNumbers w:val="0"/>
            </w:pPr>
            <w:r>
              <w:rPr>
                <w:rFonts w:hint="default" w:ascii="Arial" w:hAnsi="Arial" w:eastAsia="Arial" w:cs="Arial"/>
                <w:i w:val="0"/>
                <w:iCs w:val="0"/>
                <w:caps w:val="0"/>
                <w:color w:val="333333"/>
                <w:spacing w:val="0"/>
                <w:sz w:val="24"/>
                <w:szCs w:val="24"/>
                <w:shd w:val="clear" w:fill="FFFFFF"/>
              </w:rPr>
              <w:t>AS 4773.1 and AS 4773.2.</w:t>
            </w:r>
          </w:p>
          <w:p>
            <w:pPr>
              <w:spacing w:before="144" w:beforeLines="60" w:after="144" w:afterLines="60" w:line="276" w:lineRule="auto"/>
              <w:rPr>
                <w:rFonts w:ascii="Arial" w:hAnsi="Arial" w:eastAsia="Times New Roman" w:cs="Arial"/>
                <w:bCs/>
                <w:color w:val="000000"/>
                <w:sz w:val="20"/>
                <w:szCs w:val="20"/>
              </w:rPr>
            </w:pP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Moisture Barrier</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 building is to be constructed to provide resistance to moisture from the outside and moisture rising from the ground.</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For cavity masonry, the clear width of a cavity between the inner and outer masonry leaves must not be—less than 35 mm; andmore than 75 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default" w:ascii="Arial" w:hAnsi="Arial" w:eastAsia="宋体" w:cs="Arial"/>
                <w:bCs/>
                <w:color w:val="000000"/>
                <w:sz w:val="20"/>
                <w:szCs w:val="20"/>
                <w:lang w:val="en-US" w:eastAsia="zh-CN"/>
              </w:rPr>
              <w:t xml:space="preserve">A waterproof coating material must be applied to all external single skin masonry walls </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default" w:ascii="Arial" w:hAnsi="Arial" w:eastAsia="宋体" w:cs="Arial"/>
                <w:bCs/>
                <w:color w:val="000000"/>
                <w:sz w:val="20"/>
                <w:szCs w:val="20"/>
                <w:lang w:val="en-US" w:eastAsia="zh-CN"/>
              </w:rPr>
              <w:t>one complete coat of cement based paint and two coats of 100% acrylic based exterior quality gloss pain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Framing/Structure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Framing/Structure</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Framing</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Diagrams depicting framing members and associated terminology used to describe them are set out in Figures H1D6c, H1D6d and H1D6e, and in most cases are applicable for both steel and timber frame members.</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Design of timber structures: AS 1720.1.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Timber </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Design of timber structures: AS 1720.1.Design of nailplated timber roof trusses: AS 1720.5.Residential timber-framed construction – non-cyclonic areas: AS 1684.2 or AS 1684.4.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Roof and Wall Cladding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Roof and wall cladding</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Roof and wall cladding</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Roof tiles and hip, ridge, barge and capping tiles must be fixed in accordance with Table 7.3.2 and Figure 7.3.2a, Figure 7.3.2b, Figure 7.3.2c, Figure 7.3.2d and Figure 7.3.2e.</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Flexible pointing material complying with AS 2050.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tile</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Galvanized clout nails with a minimum diameter of 2.8 mm and of a length so that the nail will penetrate not less than 15 mm into the batten.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Glazing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Glazing</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Glazing</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Glazing used in buildings must comply with the following:Glazing used in the perimeter of buildings and supported on all sides must comply with the appropriate provisions listed in 8.3.3.Glazing used in areas where the potential for human impact could occur must comply with the appropriate provisions listed in Part 8.4.For 3 mm monolithic annealed glass, the maximum area must not be more than 0.85 m2.</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 xml:space="preserve">designed and constructed in accordance with AS 2047 for glazed assemblies in an external wall including—windows, other than those listed in (2); andsliding and swinging glazed doors with a frame, including French and bi-fold doors with a frame; andadjustable louvres; andwindow walls with one-piece framing;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Aluminum windows with 1300x10mm timber reviewed ith 4mm glass</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Structural building loads must not be transferred to the window assembly.A minimum 10 mm gap must be provided between the top of the window assembly and any loadbearing framing or masonry wall element.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Fire Safety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Fire Safety</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Fire Safety</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An external wall of a Class 1 building, and any openings in that wall, must comply with 9.2.3 if the wall is less than—900 mm from an allotment boundary other than the boundary adjoining a road alignment or other public space; or1.8 m from another building on the same allotment other than a Class 10 building associated with the Class 1 building or a detached part of the same Class 1 building.</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An external wall (including a gable) required to be fire-resisting (referred to in 9.2.1 or 9.2.4) must—commence at the footings or ground slab, except where the external wall commences above a separating wall complying with 9.3.1 (see Figure 9.2.2e); andextend to—the underside of a non-combustible roof covering, except that a wall may terminate not more than 200 mm from the underside of a non-combustible roof covering, where the area between the external wall and underside of the roof covering is sealed with a non-combustible fascia, gutter or flashing; orthe underside of a non-combustible eaves lining (See Figures 9.2.3a and b); andbe constructed in accordance with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Where a wall within a specified distance is required to comply with 9.2.3, only that part of the wall (including any openings) within the specified distance need be constructed in that manner (see Figure 9.2.2a, Figure 9.2.2b and Figure 9.2.2c).</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2)A wall required by (1) must—have an FRL of not less than 60/60/60 when tested from the outside; orbe of masonry-veneer construction in which the external masonry veneer is not less than 90 mm thick; orbe of masonry construction not less than 90 mm thick.(3)Openings in external walls required to be fire-resisting (referred to in 9.2.1 or 9.2.4) must be protected by—non-openable fire windows or other construction with an FRL of not less than –/60/–; orself-closing solid core doors not less than 35 mm thick.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Where the distance measured is between attached or detached buildings of different heights, the distance must be taken from the external wall with the highest elevation measured at right angles to a point that intersects the nearest part of a vertical projection above the adjacent building, excluding any eave overhang (see Figure 9.2.2d and Figure 9.2.2e).</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The requirements of (3) do not apply to a window in a non-habitable room that is located adjacent to and not less than 600 mm from the boundary of an adjoining allotment or 1.2 m from another building on the same allotment provided that—in a bathroom, laundry or toilet, the opening has an area of not more than 1.2 m2; orin a room other than one referred to in (a), the opening has an area of not more than 0.54 m2 and—the window is steel-framed, there are no opening sashes and it is glazed in wired glass; orthe opening is enclosed with translucent hollow glass blocks.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Access/Stairs/Lifts/Ramps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Access/Stairs/Lifts/Ramps</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Access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Landings must—be not less than 750 mm long and where this involves a change in direction, the length is measured 500 mm from the inside edge of the landing (see Figure 11.2.5a); andhave a gradient not steeper than 1:50; andbe provided where the sill of a threshold of a doorway opens onto a stairway or ramp that provides a change in floor level or floor to ground level greater than 3 risers or 570 mm (see Figure 11.2.5b); andextend across the full width of a doorway.</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Landings, where the edge leads to the flight below, must have—a surface with a slip-resistance classification not less than that listed in Table 11.2.4 when tested in accordance with AS 4586, for not less than 190 mm from the stair nosing; ora nosing strip with a slip-resistance classification not less than that listed in Table 11.2.4 when tested in accordance with AS 4586.</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Aluminum landing with anti-slip treatment </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Customer make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Ancillary Provisions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Ancillary Provisions</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Construction in alpine areas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External doors that may be subject to a build-up of snow must—open inwards or slide; andbe constructed so that the threshold is not less than 900 mm above the adjoining surface; andin a Class 1b building, be marked “OPEN INWARDS” on the inside face of the door in letters not less than 75 mm high and in a colour contrasting with that of the background.</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 xml:space="preserve"> marked “OPEN INWARDS” on the inside face of the door in letters not less than 75 mm high and in a colour contrasting with that of the background.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 xml:space="preserve"> Attachment of framed decks and balconies to external walls of buildings using a waling plate</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Where a deck or balcony relies on the external wall of a building or structure for support, the method of attachment, including any fixings, to the external wall must comply with the following:The deck or balcony’s joist framing members must be supported at the wall by a waling plate.The joist span nearest the external wall must not be more than 3 m (single or continuous span).</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Flashings must be provided to bottom, tops and the sides of the junction of the waling plate and the external wall, and must be installed so that the flashing—extends not less than 150 mm beyond each side of the waling plate where practicable; andis attached to the waling plate and wall framing; andat the top and bottom of the waling plate, drains to the outside face of the wall or cladding.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Heating appliances, fireplaces, chimneys and flues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An open fireplace, or solid-fuel burning appliance in which the fuel-burning compartment is not enclosed must have—all masonry constructed in accordance with H1D5; anda hearth constructed of stone, concrete, masonry or similar non-combustible material so that—it extends not less than 300 mm beyond the front of the fireplace opening and not less than 150 mm beyond each side of that opening; andits upper surface does not slope away from the back hearth (see Figure 12.4.2); andcombustible material, such as flooring or framing members below or around the external edge of the hearth, is situated not less than 150 mm from the upper surface of the hearth (see Figure 12.4.2); andwalls forming the sides and back of the fireplace up to a height of 300 mm above the underside of the arch or lintel which—are constructed in 2 separate leaves of solid masonry with a total combined thickness not less than 180 mm, excluding any cavity; anddo not consist of concrete block masonry in the construction of the inner leaf; andare constructed of masonry units with a net volume, excluding cored and similar holes, not less than 75% of their gross volume, measured on the overall rectangular shape of the units, and with an actual thickness of not less than 100 mm; andthe fireplace must be constructed on footings complying with 4.2.18.OptionsImagesPrint ClauseSave ClauseCopy ClauseEmail</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An insert fireplace and flue must comply with the following:The insert fireplace and flue must be—tested and passed the tests required by AS/NZS 2918; andfitted into a masonry fireplace (including chimney) constructed in accordance with H1D5 and Figure 12.4.4.The flue must be double skin and have been tested and pass the tests required by AS/NZS 2918.There must be a clearance of 50 mm between the outer flue and adjacent materials.The flue must terminate in accordance with Figure 12.4.3</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Energy Efficiency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Energy Efficiency</w:t>
            </w:r>
          </w:p>
        </w:tc>
        <w:tc>
          <w:tcPr>
            <w:tcW w:w="5528" w:type="dxa"/>
            <w:gridSpan w:val="2"/>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Building fabric thermal insulation</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abuts or overlaps adjoining insulation other than at supporting members such as columns, studs, noggings, joists, furring channels and the like where the insulation must butt against the member; andforms a continuous barrier with ceilings, walls, bulkheads, floors or the like that inherently contribute to the thermal barrier; anddoes not affect the safe or effective operation of a domestic service or fitting.</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Insert insulation before gyorock installation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Exhaust fan</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An exhaust fan must be fitted with a sealing device such as a self-closing damper, filter or the like when serving—a conditioned space; ora habitable room in climate zones 4, 5, 6, 7 and 8.</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Install two of exhaust fan with sika seal finished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Celling fan</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Ceiling fans must be installed in accordance with Table 13.5.2 in—climate zones 1, 2 and 3; andclimate zone 5 in New South Wales and Queensland.</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Remove one down light and instead of celling fan with remote control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Health and Safety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4" w:hRule="atLeast"/>
        </w:trPr>
        <w:tc>
          <w:tcPr>
            <w:tcW w:w="14087" w:type="dxa"/>
            <w:gridSpan w:val="4"/>
            <w:shd w:val="clear" w:color="auto" w:fill="auto"/>
          </w:tcPr>
          <w:p>
            <w:pPr>
              <w:pStyle w:val="2"/>
              <w:jc w:val="both"/>
              <w:rPr>
                <w:lang w:val="en-AU"/>
              </w:rPr>
            </w:pPr>
            <w:r>
              <w:rPr>
                <w:lang w:val="en-AU"/>
              </w:rPr>
              <w:t>Field Standard Safety Clothing and Equipment Policy</w:t>
            </w:r>
          </w:p>
          <w:p>
            <w:pPr>
              <w:rPr>
                <w:lang w:val="en-AU"/>
              </w:rPr>
            </w:pPr>
            <w:r>
              <w:rPr>
                <w:lang w:val="en-AU"/>
              </w:rPr>
              <w:t>Cascade Peak Construction puts the safety of its workers before everything else. All workers, therefore, are expected to wear the following safety clothing and have the following equipment within easy reach depending on where they are.</w:t>
            </w:r>
          </w:p>
          <w:p>
            <w:pPr>
              <w:pStyle w:val="2"/>
              <w:jc w:val="both"/>
              <w:rPr>
                <w:lang w:val="en-AU"/>
              </w:rPr>
            </w:pPr>
            <w:r>
              <w:rPr>
                <w:lang w:val="en-AU"/>
              </w:rPr>
              <w:t>Field Standard Safety Clothing and Equipment Procedures</w:t>
            </w:r>
          </w:p>
          <w:p>
            <w:pPr>
              <w:rPr>
                <w:lang w:val="en-AU"/>
              </w:rPr>
            </w:pPr>
            <w:r>
              <w:rPr>
                <w:lang w:val="en-AU"/>
              </w:rPr>
              <w:t>All workers must wear the following safety clothing and have the following equipment within easy reach:</w:t>
            </w:r>
          </w:p>
          <w:p>
            <w:pPr>
              <w:pStyle w:val="3"/>
            </w:pPr>
            <w:r>
              <w:t>All Tasks</w:t>
            </w:r>
          </w:p>
          <w:p>
            <w:pPr>
              <w:pStyle w:val="14"/>
              <w:numPr>
                <w:ilvl w:val="0"/>
                <w:numId w:val="2"/>
              </w:numPr>
              <w:contextualSpacing w:val="0"/>
            </w:pPr>
            <w:r>
              <w:t>Steel Cap Footwear (boots) – at discretion of safety officer</w:t>
            </w:r>
          </w:p>
          <w:p>
            <w:pPr>
              <w:pStyle w:val="14"/>
              <w:numPr>
                <w:ilvl w:val="0"/>
                <w:numId w:val="2"/>
              </w:numPr>
              <w:contextualSpacing w:val="0"/>
            </w:pPr>
            <w:r>
              <w:t>Wide Brim Hat</w:t>
            </w:r>
          </w:p>
          <w:p>
            <w:pPr>
              <w:pStyle w:val="14"/>
              <w:numPr>
                <w:ilvl w:val="0"/>
                <w:numId w:val="2"/>
              </w:numPr>
              <w:contextualSpacing w:val="0"/>
            </w:pPr>
            <w:r>
              <w:t>UV protection sunscreen (supplied)</w:t>
            </w:r>
          </w:p>
          <w:p>
            <w:pPr>
              <w:pStyle w:val="14"/>
              <w:numPr>
                <w:ilvl w:val="0"/>
                <w:numId w:val="2"/>
              </w:numPr>
              <w:contextualSpacing w:val="0"/>
            </w:pPr>
            <w:r>
              <w:t>Long sleeve shirts buttoned or affixed at wrist.</w:t>
            </w:r>
          </w:p>
          <w:p>
            <w:pPr>
              <w:pStyle w:val="14"/>
              <w:numPr>
                <w:ilvl w:val="0"/>
                <w:numId w:val="2"/>
              </w:numPr>
              <w:contextualSpacing w:val="0"/>
            </w:pPr>
            <w:r>
              <w:t xml:space="preserve">Collared shirts </w:t>
            </w:r>
          </w:p>
          <w:p>
            <w:pPr>
              <w:pStyle w:val="3"/>
            </w:pPr>
            <w:r>
              <w:t>Rural Work – Field</w:t>
            </w:r>
          </w:p>
          <w:p>
            <w:pPr>
              <w:pStyle w:val="14"/>
              <w:numPr>
                <w:ilvl w:val="0"/>
                <w:numId w:val="3"/>
              </w:numPr>
              <w:contextualSpacing w:val="0"/>
            </w:pPr>
            <w:r>
              <w:t>Long Sleeved Shirts</w:t>
            </w:r>
          </w:p>
          <w:p>
            <w:pPr>
              <w:pStyle w:val="14"/>
              <w:numPr>
                <w:ilvl w:val="0"/>
                <w:numId w:val="3"/>
              </w:numPr>
              <w:contextualSpacing w:val="0"/>
            </w:pPr>
            <w:r>
              <w:t>Long Pants</w:t>
            </w:r>
          </w:p>
          <w:p>
            <w:pPr>
              <w:pStyle w:val="14"/>
              <w:numPr>
                <w:ilvl w:val="0"/>
                <w:numId w:val="3"/>
              </w:numPr>
              <w:contextualSpacing w:val="0"/>
            </w:pPr>
            <w:r>
              <w:t>Gaiters where suitable</w:t>
            </w:r>
          </w:p>
          <w:p>
            <w:pPr>
              <w:pStyle w:val="3"/>
            </w:pPr>
            <w:r>
              <w:t>Roads and Areas around Natural Rock Faces – Field</w:t>
            </w:r>
          </w:p>
          <w:p>
            <w:pPr>
              <w:pStyle w:val="14"/>
              <w:numPr>
                <w:ilvl w:val="0"/>
                <w:numId w:val="3"/>
              </w:numPr>
              <w:contextualSpacing w:val="0"/>
            </w:pPr>
            <w:r>
              <w:t>Hard Hats and highly visible (orange) vests to be worn.</w:t>
            </w:r>
          </w:p>
          <w:p>
            <w:pPr>
              <w:pStyle w:val="3"/>
            </w:pPr>
            <w:r>
              <w:t>Remote Projects</w:t>
            </w:r>
          </w:p>
          <w:p>
            <w:pPr>
              <w:pStyle w:val="14"/>
              <w:numPr>
                <w:ilvl w:val="0"/>
                <w:numId w:val="4"/>
              </w:numPr>
              <w:contextualSpacing w:val="0"/>
            </w:pPr>
            <w:r>
              <w:t>EPIRB (distress radio beacon) to be carried by Party Member</w:t>
            </w:r>
          </w:p>
          <w:p>
            <w:pPr>
              <w:pStyle w:val="14"/>
              <w:numPr>
                <w:ilvl w:val="0"/>
                <w:numId w:val="4"/>
              </w:numPr>
              <w:contextualSpacing w:val="0"/>
            </w:pPr>
            <w:r>
              <w:t>Safety Equipment</w:t>
            </w:r>
          </w:p>
          <w:p>
            <w:pPr>
              <w:pStyle w:val="3"/>
            </w:pPr>
            <w:r>
              <w:t>Office</w:t>
            </w:r>
          </w:p>
          <w:p>
            <w:pPr>
              <w:pStyle w:val="14"/>
              <w:numPr>
                <w:ilvl w:val="0"/>
                <w:numId w:val="3"/>
              </w:numPr>
              <w:contextualSpacing w:val="0"/>
            </w:pPr>
            <w:r>
              <w:t>Fire Extinguishers as required by legislation</w:t>
            </w:r>
          </w:p>
          <w:p>
            <w:pPr>
              <w:pStyle w:val="14"/>
              <w:numPr>
                <w:ilvl w:val="0"/>
                <w:numId w:val="3"/>
              </w:numPr>
              <w:contextualSpacing w:val="0"/>
            </w:pPr>
            <w:r>
              <w:t>Comprehensive First Aid Kits</w:t>
            </w:r>
          </w:p>
          <w:p>
            <w:pPr>
              <w:pStyle w:val="3"/>
            </w:pPr>
            <w:r>
              <w:t>Depot</w:t>
            </w:r>
          </w:p>
          <w:p>
            <w:pPr>
              <w:pStyle w:val="14"/>
              <w:numPr>
                <w:ilvl w:val="0"/>
                <w:numId w:val="3"/>
              </w:numPr>
              <w:contextualSpacing w:val="0"/>
            </w:pPr>
            <w:r>
              <w:t>Fire Extinguishers</w:t>
            </w:r>
          </w:p>
          <w:p>
            <w:pPr>
              <w:pStyle w:val="14"/>
              <w:numPr>
                <w:ilvl w:val="0"/>
                <w:numId w:val="3"/>
              </w:numPr>
              <w:contextualSpacing w:val="0"/>
            </w:pPr>
            <w:r>
              <w:t>Comprehensive First Aid Kit</w:t>
            </w:r>
          </w:p>
          <w:p>
            <w:pPr>
              <w:pStyle w:val="14"/>
              <w:numPr>
                <w:ilvl w:val="0"/>
                <w:numId w:val="3"/>
              </w:numPr>
              <w:contextualSpacing w:val="0"/>
            </w:pPr>
            <w:r>
              <w:t>Surveyor on Road Signs</w:t>
            </w:r>
          </w:p>
          <w:p>
            <w:pPr>
              <w:pStyle w:val="3"/>
            </w:pPr>
            <w:r>
              <w:t>All Vehicles</w:t>
            </w:r>
          </w:p>
          <w:p>
            <w:pPr>
              <w:pStyle w:val="14"/>
              <w:numPr>
                <w:ilvl w:val="0"/>
                <w:numId w:val="3"/>
              </w:numPr>
              <w:contextualSpacing w:val="0"/>
            </w:pPr>
            <w:r>
              <w:t>Comprehensive Fire Extinguishers</w:t>
            </w:r>
          </w:p>
          <w:p>
            <w:pPr>
              <w:pStyle w:val="14"/>
              <w:numPr>
                <w:ilvl w:val="0"/>
                <w:numId w:val="3"/>
              </w:numPr>
              <w:contextualSpacing w:val="0"/>
            </w:pPr>
            <w:r>
              <w:t>High Visibility orange jackets</w:t>
            </w:r>
          </w:p>
          <w:p>
            <w:pPr>
              <w:pStyle w:val="3"/>
            </w:pPr>
            <w:r>
              <w:t>Vehicles Working on Commercial or Wilderness Sites</w:t>
            </w:r>
          </w:p>
          <w:p>
            <w:pPr>
              <w:pStyle w:val="14"/>
              <w:numPr>
                <w:ilvl w:val="0"/>
                <w:numId w:val="3"/>
              </w:numPr>
              <w:contextualSpacing w:val="0"/>
            </w:pPr>
            <w:r>
              <w:t>Fire Extinguishers</w:t>
            </w:r>
          </w:p>
          <w:p>
            <w:pPr>
              <w:pStyle w:val="14"/>
              <w:numPr>
                <w:ilvl w:val="0"/>
                <w:numId w:val="3"/>
              </w:numPr>
              <w:contextualSpacing w:val="0"/>
            </w:pPr>
            <w:r>
              <w:t>Comprehensive First Aid Kit</w:t>
            </w:r>
          </w:p>
          <w:p>
            <w:pPr>
              <w:pStyle w:val="14"/>
              <w:numPr>
                <w:ilvl w:val="0"/>
                <w:numId w:val="3"/>
              </w:numPr>
              <w:contextualSpacing w:val="0"/>
            </w:pPr>
            <w:r>
              <w:t>High visibility orange jackets</w:t>
            </w:r>
          </w:p>
          <w:p>
            <w:pPr>
              <w:pStyle w:val="14"/>
              <w:numPr>
                <w:ilvl w:val="0"/>
                <w:numId w:val="3"/>
              </w:numPr>
              <w:contextualSpacing w:val="0"/>
            </w:pPr>
            <w:r>
              <w:t>EPIRB</w:t>
            </w:r>
          </w:p>
          <w:p>
            <w:pPr>
              <w:pStyle w:val="14"/>
              <w:numPr>
                <w:ilvl w:val="0"/>
                <w:numId w:val="3"/>
              </w:numPr>
              <w:contextualSpacing w:val="0"/>
            </w:pPr>
            <w:r>
              <w:t>Hard Hats</w:t>
            </w:r>
          </w:p>
          <w:p>
            <w:pPr>
              <w:pStyle w:val="14"/>
              <w:numPr>
                <w:ilvl w:val="0"/>
                <w:numId w:val="3"/>
              </w:numPr>
              <w:contextualSpacing w:val="0"/>
            </w:pPr>
            <w:r>
              <w:t>High Set Warning lights (mining &amp; construction only)</w:t>
            </w:r>
          </w:p>
          <w:p>
            <w:pPr>
              <w:pStyle w:val="14"/>
              <w:numPr>
                <w:ilvl w:val="0"/>
                <w:numId w:val="3"/>
              </w:numPr>
              <w:contextualSpacing w:val="0"/>
            </w:pPr>
            <w:r>
              <w:t>High set orange flashing light (mining &amp; construction only)</w:t>
            </w:r>
          </w:p>
          <w:p>
            <w:pPr>
              <w:pStyle w:val="14"/>
              <w:numPr>
                <w:ilvl w:val="0"/>
                <w:numId w:val="3"/>
              </w:numPr>
              <w:contextualSpacing w:val="0"/>
            </w:pPr>
            <w:r>
              <w:t>Surveyor on Road signs where required</w:t>
            </w:r>
          </w:p>
          <w:p>
            <w:pPr>
              <w:spacing w:before="144" w:beforeLines="60" w:after="144" w:afterLines="60" w:line="276" w:lineRule="auto"/>
              <w:rPr>
                <w:rFonts w:ascii="Arial" w:hAnsi="Arial" w:eastAsia="Times New Roman" w:cs="Arial"/>
                <w:bCs/>
                <w:color w:val="000000"/>
                <w:sz w:val="20"/>
                <w:szCs w:val="20"/>
              </w:rPr>
            </w:pPr>
          </w:p>
        </w:tc>
      </w:tr>
    </w:tbl>
    <w:p>
      <w:pPr>
        <w:rPr>
          <w:sz w:val="12"/>
          <w:szCs w:val="12"/>
        </w:rPr>
      </w:pPr>
    </w:p>
    <w:tbl>
      <w:tblPr>
        <w:tblStyle w:val="7"/>
        <w:tblW w:w="14087" w:type="dxa"/>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5"/>
        <w:gridCol w:w="2693"/>
        <w:gridCol w:w="2410"/>
        <w:gridCol w:w="2835"/>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4087" w:type="dxa"/>
            <w:gridSpan w:val="5"/>
            <w:shd w:val="clear" w:color="auto" w:fill="D8D8D8" w:themeFill="background1" w:themeFillShade="D9"/>
          </w:tcPr>
          <w:p>
            <w:pPr>
              <w:spacing w:before="144" w:beforeLines="60" w:after="144" w:afterLines="60" w:line="276" w:lineRule="auto"/>
              <w:jc w:val="both"/>
              <w:rPr>
                <w:rFonts w:ascii="Arial" w:hAnsi="Arial" w:eastAsia="Times New Roman" w:cs="Arial"/>
                <w:b/>
                <w:color w:val="000000"/>
                <w:sz w:val="20"/>
                <w:szCs w:val="20"/>
              </w:rPr>
            </w:pPr>
            <w:r>
              <w:rPr>
                <w:rFonts w:ascii="Arial" w:hAnsi="Arial" w:eastAsia="Times New Roman" w:cs="Arial"/>
                <w:b/>
                <w:color w:val="000000"/>
                <w:sz w:val="20"/>
                <w:szCs w:val="20"/>
              </w:rPr>
              <w:t>Consultation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14087" w:type="dxa"/>
            <w:gridSpan w:val="5"/>
            <w:shd w:val="clear" w:color="auto" w:fill="auto"/>
          </w:tcPr>
          <w:p>
            <w:r>
              <w:t>Always seek assistance when shifting office furniture or equipment.</w:t>
            </w:r>
          </w:p>
          <w:p>
            <w:r>
              <w:t>The use of power boards, double adaptors is only permissible following an inspection by a qualified electrician</w:t>
            </w:r>
          </w:p>
          <w:p>
            <w:r>
              <w:t>No employee can attempt to repair electrical equipment which malfunctions. Any malfunctioning office electrical equipment must be taken to a suitably qualified repairer.</w:t>
            </w:r>
          </w:p>
          <w:p>
            <w:r>
              <w:t>Electrical cords, connections and power points must be inspected annually by a qualified repairer.</w:t>
            </w:r>
          </w:p>
          <w:p>
            <w:r>
              <w:t>Air conditioning to be serviced annually by suitably qualified person.</w:t>
            </w:r>
          </w:p>
          <w:p>
            <w:r>
              <w:t>Register to be maintained of phone numbers and contact details of staff medical advisers, ambulance, police, etc.</w:t>
            </w:r>
          </w:p>
          <w:p>
            <w:pPr>
              <w:spacing w:before="144" w:beforeLines="60" w:after="144" w:afterLines="60" w:line="276" w:lineRule="auto"/>
              <w:jc w:val="both"/>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087" w:type="dxa"/>
            <w:gridSpan w:val="5"/>
            <w:shd w:val="clear" w:color="auto" w:fill="D8D8D8" w:themeFill="background1" w:themeFillShade="D9"/>
          </w:tcPr>
          <w:p>
            <w:pPr>
              <w:spacing w:before="144" w:beforeLines="60" w:after="144" w:afterLines="60" w:line="276" w:lineRule="auto"/>
              <w:rPr>
                <w:rFonts w:ascii="Arial" w:hAnsi="Arial" w:eastAsia="Times New Roman" w:cs="Arial"/>
                <w:b/>
                <w:sz w:val="20"/>
                <w:szCs w:val="20"/>
              </w:rPr>
            </w:pPr>
            <w:r>
              <w:rPr>
                <w:rFonts w:ascii="Arial" w:hAnsi="Arial" w:eastAsia="Times New Roman" w:cs="Arial"/>
                <w:b/>
                <w:sz w:val="20"/>
                <w:szCs w:val="20"/>
              </w:rPr>
              <w:t>Policies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9" w:hRule="atLeast"/>
        </w:trPr>
        <w:tc>
          <w:tcPr>
            <w:tcW w:w="14087" w:type="dxa"/>
            <w:gridSpan w:val="5"/>
            <w:shd w:val="clear" w:color="auto" w:fill="FFFFFF"/>
          </w:tcPr>
          <w:p>
            <w:pPr>
              <w:jc w:val="both"/>
              <w:rPr>
                <w:lang w:val="en-AU"/>
              </w:rPr>
            </w:pPr>
            <w:r>
              <w:rPr>
                <w:rFonts w:hint="eastAsia" w:eastAsia="宋体"/>
                <w:lang w:val="en-US" w:eastAsia="zh-CN"/>
              </w:rPr>
              <w:t xml:space="preserve">Dawn </w:t>
            </w:r>
            <w:r>
              <w:rPr>
                <w:lang w:val="en-AU"/>
              </w:rPr>
              <w:t>Construction Pty Ltd is committed to creating a workplace environment that is conducive to safety as well as to productivity. To achieve this aim, management and employees will comply with all relevant legislation and safety regulations that are in force both in the office and in the client’s work environments.</w:t>
            </w:r>
          </w:p>
          <w:p>
            <w:pPr>
              <w:spacing w:before="144" w:beforeLines="60" w:after="144" w:afterLines="60" w:line="276" w:lineRule="auto"/>
              <w:rPr>
                <w:rFonts w:ascii="Arial" w:hAnsi="Arial" w:eastAsia="Times New Roman"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4087" w:type="dxa"/>
            <w:gridSpan w:val="5"/>
            <w:shd w:val="clear" w:color="auto" w:fill="D8D8D8" w:themeFill="background1" w:themeFillShade="D9"/>
          </w:tcPr>
          <w:p>
            <w:pPr>
              <w:spacing w:before="144" w:beforeLines="60" w:after="144" w:afterLines="60" w:line="276" w:lineRule="auto"/>
              <w:jc w:val="both"/>
              <w:rPr>
                <w:rFonts w:ascii="Arial" w:hAnsi="Arial" w:eastAsia="Times New Roman" w:cs="Arial"/>
                <w:b/>
                <w:color w:val="000000"/>
                <w:sz w:val="20"/>
                <w:szCs w:val="20"/>
              </w:rPr>
            </w:pPr>
            <w:r>
              <w:rPr>
                <w:rFonts w:ascii="Arial" w:hAnsi="Arial" w:eastAsia="Times New Roman" w:cs="Arial"/>
                <w:b/>
                <w:color w:val="000000"/>
                <w:sz w:val="20"/>
                <w:szCs w:val="20"/>
              </w:rPr>
              <w:t>Procedures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7" w:hRule="atLeast"/>
        </w:trPr>
        <w:tc>
          <w:tcPr>
            <w:tcW w:w="14087" w:type="dxa"/>
            <w:gridSpan w:val="5"/>
            <w:shd w:val="clear" w:color="auto" w:fill="FFFFFF"/>
          </w:tcPr>
          <w:p>
            <w:pPr>
              <w:jc w:val="both"/>
              <w:rPr>
                <w:lang w:val="en-AU"/>
              </w:rPr>
            </w:pPr>
            <w:r>
              <w:rPr>
                <w:lang w:val="en-AU"/>
              </w:rPr>
              <w:t>Designated Health and Safety Representatives (HSRs) will be responsible for ensuring that matters of policy as set out elsewhere in this document are carried out. In addition, the HSR will identify and cause to be rectified all potential safety hazards.</w:t>
            </w:r>
          </w:p>
          <w:p>
            <w:pPr>
              <w:pStyle w:val="3"/>
              <w:jc w:val="both"/>
              <w:rPr>
                <w:lang w:val="en-AU"/>
              </w:rPr>
            </w:pPr>
            <w:r>
              <w:rPr>
                <w:lang w:val="en-AU"/>
              </w:rPr>
              <w:t>Designated Work Areas</w:t>
            </w:r>
          </w:p>
          <w:p>
            <w:pPr>
              <w:jc w:val="both"/>
              <w:rPr>
                <w:lang w:val="en-AU"/>
              </w:rPr>
            </w:pPr>
            <w:r>
              <w:rPr>
                <w:lang w:val="en-AU"/>
              </w:rPr>
              <w:t>Cascade Peak Construction will be divided up into the following designated work areas:</w:t>
            </w:r>
          </w:p>
          <w:p>
            <w:pPr>
              <w:pStyle w:val="14"/>
              <w:numPr>
                <w:ilvl w:val="0"/>
                <w:numId w:val="5"/>
              </w:numPr>
              <w:contextualSpacing w:val="0"/>
              <w:jc w:val="both"/>
              <w:rPr>
                <w:lang w:val="en-AU"/>
              </w:rPr>
            </w:pPr>
            <w:r>
              <w:rPr>
                <w:lang w:val="en-AU"/>
              </w:rPr>
              <w:t>The office, including office entrances and exits, and staff/visitor car park.</w:t>
            </w:r>
          </w:p>
          <w:p>
            <w:pPr>
              <w:pStyle w:val="14"/>
              <w:numPr>
                <w:ilvl w:val="0"/>
                <w:numId w:val="5"/>
              </w:numPr>
              <w:contextualSpacing w:val="0"/>
              <w:jc w:val="both"/>
              <w:rPr>
                <w:lang w:val="en-AU"/>
              </w:rPr>
            </w:pPr>
            <w:r>
              <w:rPr>
                <w:lang w:val="en-AU"/>
              </w:rPr>
              <w:t>The depot, including the warehouse and the outdoor area containing the landscape supplies and large landscaping equipment.</w:t>
            </w:r>
          </w:p>
          <w:p>
            <w:pPr>
              <w:pStyle w:val="14"/>
              <w:numPr>
                <w:ilvl w:val="0"/>
                <w:numId w:val="5"/>
              </w:numPr>
              <w:contextualSpacing w:val="0"/>
              <w:jc w:val="both"/>
              <w:rPr>
                <w:lang w:val="en-AU"/>
              </w:rPr>
            </w:pPr>
            <w:r>
              <w:rPr>
                <w:lang w:val="en-AU"/>
              </w:rPr>
              <w:t>Each remote worksite where landscaping work is carried out is considered a separate designated work area.</w:t>
            </w:r>
          </w:p>
          <w:p>
            <w:pPr>
              <w:jc w:val="both"/>
              <w:rPr>
                <w:lang w:val="en-AU"/>
              </w:rPr>
            </w:pPr>
            <w:r>
              <w:rPr>
                <w:lang w:val="en-AU"/>
              </w:rPr>
              <w:t>In instances of large worksites where different teams are working in different areas (for instance different areas of national park land where each team is a long way from each other, then the area in which each team is working constitutes a separate designated work area.</w:t>
            </w:r>
          </w:p>
          <w:p>
            <w:pPr>
              <w:pStyle w:val="3"/>
              <w:jc w:val="both"/>
              <w:rPr>
                <w:lang w:val="en-AU"/>
              </w:rPr>
            </w:pPr>
            <w:r>
              <w:rPr>
                <w:lang w:val="en-AU"/>
              </w:rPr>
              <w:t>Health and Safety Representatives</w:t>
            </w:r>
          </w:p>
          <w:p>
            <w:pPr>
              <w:jc w:val="both"/>
              <w:rPr>
                <w:lang w:val="en-AU"/>
              </w:rPr>
            </w:pPr>
            <w:r>
              <w:rPr>
                <w:lang w:val="en-AU"/>
              </w:rPr>
              <w:t>Every designated work area must have a designated HSR (health and safety representative).</w:t>
            </w:r>
          </w:p>
          <w:p>
            <w:pPr>
              <w:jc w:val="both"/>
              <w:rPr>
                <w:lang w:val="en-AU"/>
              </w:rPr>
            </w:pPr>
            <w:r>
              <w:rPr>
                <w:lang w:val="en-AU"/>
              </w:rPr>
              <w:t>The administration manager will be the HSR of the office work area.</w:t>
            </w:r>
          </w:p>
          <w:p>
            <w:pPr>
              <w:jc w:val="both"/>
              <w:rPr>
                <w:lang w:val="en-AU"/>
              </w:rPr>
            </w:pPr>
            <w:r>
              <w:rPr>
                <w:lang w:val="en-AU"/>
              </w:rPr>
              <w:t>Every worksite defined above is required to have a site supervisor who will be the HSR of their respective work area.</w:t>
            </w:r>
          </w:p>
          <w:p>
            <w:pPr>
              <w:jc w:val="both"/>
              <w:rPr>
                <w:lang w:val="en-AU"/>
              </w:rPr>
            </w:pPr>
            <w:r>
              <w:rPr>
                <w:lang w:val="en-AU"/>
              </w:rPr>
              <w:t>HSR to be aware of “Duty of Care” under Workplace Health and Safety Act. To make sure that all persons entering a workplace that requires a safety induction has a current induction or arranges to get that person inducted. Inductions are for a limited period of 12 months.</w:t>
            </w:r>
          </w:p>
          <w:p>
            <w:pPr>
              <w:spacing w:before="144" w:beforeLines="60" w:after="144" w:afterLines="60" w:line="276" w:lineRule="auto"/>
              <w:rPr>
                <w:rFonts w:ascii="Arial" w:hAnsi="Arial" w:eastAsia="Times New Roman" w:cs="Arial"/>
                <w:bCs/>
                <w:color w:val="44546A" w:themeColor="text2"/>
                <w:sz w:val="20"/>
                <w:szCs w:val="20"/>
                <w14:textFill>
                  <w14:solidFill>
                    <w14:schemeClr w14:val="tx2"/>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4087" w:type="dxa"/>
            <w:gridSpan w:val="5"/>
            <w:shd w:val="clear" w:color="auto" w:fill="D8D8D8" w:themeFill="background1" w:themeFillShade="D9"/>
            <w:vAlign w:val="center"/>
          </w:tcPr>
          <w:p>
            <w:pPr>
              <w:spacing w:before="144" w:beforeLines="60" w:after="144" w:afterLines="60" w:line="276" w:lineRule="auto"/>
              <w:rPr>
                <w:rFonts w:ascii="Arial" w:hAnsi="Arial" w:eastAsia="Times New Roman" w:cs="Arial"/>
                <w:b/>
                <w:smallCaps/>
                <w:color w:val="000000"/>
                <w:sz w:val="20"/>
                <w:szCs w:val="20"/>
              </w:rPr>
            </w:pPr>
            <w:r>
              <w:rPr>
                <w:rFonts w:ascii="Arial" w:hAnsi="Arial" w:eastAsia="Times New Roman" w:cs="Arial"/>
                <w:b/>
                <w:bCs/>
                <w:sz w:val="20"/>
                <w:szCs w:val="20"/>
              </w:rPr>
              <w:t>Issues to be addressed and consultation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auto"/>
            <w:vAlign w:val="center"/>
          </w:tcPr>
          <w:p>
            <w:pPr>
              <w:spacing w:after="0" w:line="240" w:lineRule="auto"/>
              <w:jc w:val="center"/>
              <w:rPr>
                <w:rFonts w:ascii="Arial" w:hAnsi="Arial" w:eastAsia="Times New Roman" w:cs="Arial"/>
                <w:b/>
                <w:bCs/>
                <w:sz w:val="20"/>
                <w:szCs w:val="20"/>
              </w:rPr>
            </w:pPr>
            <w:r>
              <w:rPr>
                <w:rFonts w:ascii="Arial" w:hAnsi="Arial" w:eastAsia="Times New Roman" w:cs="Arial"/>
                <w:b/>
                <w:bCs/>
                <w:sz w:val="20"/>
                <w:szCs w:val="20"/>
              </w:rPr>
              <w:t>Issue</w:t>
            </w:r>
          </w:p>
        </w:tc>
        <w:tc>
          <w:tcPr>
            <w:tcW w:w="2693" w:type="dxa"/>
            <w:shd w:val="clear" w:color="auto" w:fill="auto"/>
            <w:vAlign w:val="center"/>
          </w:tcPr>
          <w:p>
            <w:pPr>
              <w:spacing w:after="0" w:line="240" w:lineRule="auto"/>
              <w:jc w:val="center"/>
              <w:rPr>
                <w:rFonts w:ascii="Arial" w:hAnsi="Arial" w:eastAsia="Times New Roman" w:cs="Arial"/>
                <w:b/>
                <w:bCs/>
                <w:sz w:val="20"/>
                <w:szCs w:val="20"/>
              </w:rPr>
            </w:pPr>
            <w:r>
              <w:rPr>
                <w:rFonts w:ascii="Arial" w:hAnsi="Arial" w:eastAsia="Times New Roman" w:cs="Arial"/>
                <w:b/>
                <w:bCs/>
                <w:sz w:val="20"/>
                <w:szCs w:val="20"/>
              </w:rPr>
              <w:t>Who to consult</w:t>
            </w:r>
          </w:p>
        </w:tc>
        <w:tc>
          <w:tcPr>
            <w:tcW w:w="2410" w:type="dxa"/>
            <w:shd w:val="clear" w:color="auto" w:fill="auto"/>
            <w:vAlign w:val="center"/>
          </w:tcPr>
          <w:p>
            <w:pPr>
              <w:spacing w:after="0" w:line="240" w:lineRule="auto"/>
              <w:jc w:val="center"/>
              <w:rPr>
                <w:rFonts w:ascii="Arial" w:hAnsi="Arial" w:eastAsia="Times New Roman" w:cs="Arial"/>
                <w:b/>
                <w:bCs/>
                <w:sz w:val="20"/>
                <w:szCs w:val="20"/>
              </w:rPr>
            </w:pPr>
            <w:r>
              <w:rPr>
                <w:rFonts w:ascii="Arial" w:hAnsi="Arial" w:eastAsia="Times New Roman" w:cs="Arial"/>
                <w:b/>
                <w:bCs/>
                <w:sz w:val="20"/>
                <w:szCs w:val="20"/>
              </w:rPr>
              <w:t>Improvements for consideration</w:t>
            </w:r>
          </w:p>
        </w:tc>
        <w:tc>
          <w:tcPr>
            <w:tcW w:w="2835" w:type="dxa"/>
            <w:shd w:val="clear" w:color="auto" w:fill="auto"/>
            <w:vAlign w:val="center"/>
          </w:tcPr>
          <w:p>
            <w:pPr>
              <w:spacing w:after="0" w:line="240" w:lineRule="auto"/>
              <w:jc w:val="center"/>
              <w:rPr>
                <w:rFonts w:ascii="Arial" w:hAnsi="Arial" w:eastAsia="Times New Roman" w:cs="Arial"/>
                <w:b/>
                <w:bCs/>
                <w:sz w:val="20"/>
                <w:szCs w:val="20"/>
              </w:rPr>
            </w:pPr>
            <w:r>
              <w:rPr>
                <w:rFonts w:ascii="Arial" w:hAnsi="Arial" w:eastAsia="Times New Roman" w:cs="Arial"/>
                <w:b/>
                <w:bCs/>
                <w:sz w:val="20"/>
                <w:szCs w:val="20"/>
              </w:rPr>
              <w:t>Feedback following consideration</w:t>
            </w:r>
          </w:p>
        </w:tc>
        <w:tc>
          <w:tcPr>
            <w:tcW w:w="1984" w:type="dxa"/>
            <w:shd w:val="clear" w:color="auto" w:fill="auto"/>
            <w:vAlign w:val="center"/>
          </w:tcPr>
          <w:p>
            <w:pPr>
              <w:spacing w:after="0" w:line="240" w:lineRule="auto"/>
              <w:jc w:val="center"/>
              <w:rPr>
                <w:rFonts w:ascii="Arial" w:hAnsi="Arial" w:eastAsia="Times New Roman" w:cs="Arial"/>
                <w:b/>
                <w:bCs/>
                <w:sz w:val="20"/>
                <w:szCs w:val="20"/>
              </w:rPr>
            </w:pPr>
            <w:r>
              <w:rPr>
                <w:rFonts w:ascii="Arial" w:hAnsi="Arial" w:eastAsia="Times New Roman" w:cs="Arial"/>
                <w:b/>
                <w:bCs/>
                <w:sz w:val="20"/>
                <w:szCs w:val="20"/>
              </w:rPr>
              <w:t>Supporting Resources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Safety </w:t>
            </w:r>
          </w:p>
        </w:tc>
        <w:tc>
          <w:tcPr>
            <w:tcW w:w="2693"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Onsite manager or supervisor</w:t>
            </w:r>
          </w:p>
        </w:tc>
        <w:tc>
          <w:tcPr>
            <w:tcW w:w="2410"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2835"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1984"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Records kept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Health </w:t>
            </w:r>
          </w:p>
        </w:tc>
        <w:tc>
          <w:tcPr>
            <w:tcW w:w="2693"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As above</w:t>
            </w:r>
          </w:p>
        </w:tc>
        <w:tc>
          <w:tcPr>
            <w:tcW w:w="2410"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As above</w:t>
            </w:r>
          </w:p>
        </w:tc>
        <w:tc>
          <w:tcPr>
            <w:tcW w:w="2835"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As above</w:t>
            </w:r>
          </w:p>
        </w:tc>
        <w:tc>
          <w:tcPr>
            <w:tcW w:w="1984"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As above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Quality of project </w:t>
            </w:r>
          </w:p>
        </w:tc>
        <w:tc>
          <w:tcPr>
            <w:tcW w:w="2693"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Builder or certificate </w:t>
            </w:r>
          </w:p>
        </w:tc>
        <w:tc>
          <w:tcPr>
            <w:tcW w:w="2410"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Email </w:t>
            </w:r>
          </w:p>
        </w:tc>
        <w:tc>
          <w:tcPr>
            <w:tcW w:w="2835"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Email </w:t>
            </w:r>
          </w:p>
        </w:tc>
        <w:tc>
          <w:tcPr>
            <w:tcW w:w="1984"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Records kept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r>
    </w:tbl>
    <w:p>
      <w:pPr>
        <w:spacing w:after="0" w:line="240" w:lineRule="auto"/>
        <w:rPr>
          <w:sz w:val="2"/>
          <w:szCs w:val="2"/>
        </w:rPr>
      </w:pPr>
    </w:p>
    <w:sectPr>
      <w:headerReference r:id="rId5" w:type="default"/>
      <w:footerReference r:id="rId7" w:type="default"/>
      <w:headerReference r:id="rId6" w:type="even"/>
      <w:footerReference r:id="rId8" w:type="even"/>
      <w:pgSz w:w="16838" w:h="11906" w:orient="landscape"/>
      <w:pgMar w:top="1440" w:right="1440" w:bottom="1440" w:left="1440" w:header="680" w:footer="68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spacing w:after="0" w:line="240" w:lineRule="auto"/>
      <w:jc w:val="both"/>
      <w:rPr>
        <w:rFonts w:ascii="Arial" w:hAnsi="Arial" w:eastAsia="Times New Roman" w:cs="Arial"/>
        <w:b/>
        <w:sz w:val="16"/>
        <w:szCs w:val="16"/>
      </w:rPr>
    </w:pPr>
  </w:p>
  <w:p>
    <w:pPr>
      <w:pBdr>
        <w:top w:val="single" w:color="auto" w:sz="4" w:space="1"/>
      </w:pBdr>
      <w:spacing w:after="0" w:line="240" w:lineRule="auto"/>
      <w:jc w:val="both"/>
      <w:rPr>
        <w:rFonts w:ascii="Arial" w:hAnsi="Arial" w:eastAsia="Times New Roman" w:cs="Arial"/>
        <w:b/>
        <w:sz w:val="16"/>
        <w:szCs w:val="16"/>
      </w:rPr>
    </w:pPr>
    <w:r>
      <w:rPr>
        <w:rFonts w:ascii="Arial" w:hAnsi="Arial" w:eastAsia="Times New Roman" w:cs="Arial"/>
        <w:b/>
        <w:sz w:val="16"/>
        <w:szCs w:val="16"/>
      </w:rPr>
      <w:t>CSTC Pty Ltd_RTO#0699_</w:t>
    </w:r>
    <w:sdt>
      <w:sdtPr>
        <w:rPr>
          <w:rFonts w:ascii="Arial" w:hAnsi="Arial" w:eastAsia="Times New Roman"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eastAsia="Times New Roman" w:cs="Arial"/>
          <w:b/>
          <w:sz w:val="16"/>
          <w:szCs w:val="16"/>
        </w:rPr>
      </w:sdtEndPr>
      <w:sdtContent>
        <w:r>
          <w:rPr>
            <w:rFonts w:ascii="Arial" w:hAnsi="Arial" w:eastAsia="Times New Roman" w:cs="Arial"/>
            <w:b/>
            <w:sz w:val="16"/>
            <w:szCs w:val="16"/>
          </w:rPr>
          <w:t>v1-0_24/02/2023</w:t>
        </w:r>
      </w:sdtContent>
    </w:sdt>
    <w:r>
      <w:rPr>
        <w:rFonts w:ascii="Arial" w:hAnsi="Arial" w:eastAsia="Times New Roman" w:cs="Arial"/>
        <w:b/>
        <w:sz w:val="16"/>
        <w:szCs w:val="16"/>
      </w:rPr>
      <w:ptab w:relativeTo="margin" w:alignment="right" w:leader="none"/>
    </w:r>
    <w:sdt>
      <w:sdtPr>
        <w:rPr>
          <w:rFonts w:ascii="Arial" w:hAnsi="Arial" w:eastAsia="Times New Roman" w:cs="Arial"/>
          <w:b/>
          <w:sz w:val="16"/>
          <w:szCs w:val="16"/>
        </w:rPr>
        <w:id w:val="-358125695"/>
        <w:docPartObj>
          <w:docPartGallery w:val="autotext"/>
        </w:docPartObj>
      </w:sdtPr>
      <w:sdtEndPr>
        <w:rPr>
          <w:rFonts w:ascii="Arial" w:hAnsi="Arial" w:eastAsia="Times New Roman" w:cs="Arial"/>
          <w:b/>
          <w:sz w:val="16"/>
          <w:szCs w:val="16"/>
        </w:rPr>
      </w:sdtEndPr>
      <w:sdtContent>
        <w:sdt>
          <w:sdtPr>
            <w:rPr>
              <w:rFonts w:ascii="Arial" w:hAnsi="Arial" w:eastAsia="Times New Roman" w:cs="Arial"/>
              <w:b/>
              <w:sz w:val="16"/>
              <w:szCs w:val="16"/>
            </w:rPr>
            <w:id w:val="-255511779"/>
            <w:docPartObj>
              <w:docPartGallery w:val="autotext"/>
            </w:docPartObj>
          </w:sdtPr>
          <w:sdtEndPr>
            <w:rPr>
              <w:rFonts w:ascii="Arial" w:hAnsi="Arial" w:eastAsia="Times New Roman" w:cs="Arial"/>
              <w:b/>
              <w:sz w:val="16"/>
              <w:szCs w:val="16"/>
            </w:rPr>
          </w:sdtEndPr>
          <w:sdtContent>
            <w:r>
              <w:rPr>
                <w:rFonts w:ascii="Arial" w:hAnsi="Arial" w:eastAsia="Times New Roman" w:cs="Arial"/>
                <w:b/>
                <w:sz w:val="16"/>
                <w:szCs w:val="16"/>
              </w:rPr>
              <w:t xml:space="preserve">Page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PAGE </w:instrText>
            </w:r>
            <w:r>
              <w:rPr>
                <w:rFonts w:ascii="Arial" w:hAnsi="Arial" w:eastAsia="Times New Roman" w:cs="Arial"/>
                <w:b/>
                <w:bCs/>
                <w:sz w:val="16"/>
                <w:szCs w:val="16"/>
              </w:rPr>
              <w:fldChar w:fldCharType="separate"/>
            </w:r>
            <w:r>
              <w:rPr>
                <w:rFonts w:ascii="Arial" w:hAnsi="Arial" w:eastAsia="Times New Roman" w:cs="Arial"/>
                <w:b/>
                <w:bCs/>
                <w:sz w:val="16"/>
                <w:szCs w:val="16"/>
              </w:rPr>
              <w:t>1</w:t>
            </w:r>
            <w:r>
              <w:rPr>
                <w:rFonts w:ascii="Arial" w:hAnsi="Arial" w:eastAsia="Times New Roman" w:cs="Arial"/>
                <w:b/>
                <w:sz w:val="16"/>
                <w:szCs w:val="16"/>
              </w:rPr>
              <w:fldChar w:fldCharType="end"/>
            </w:r>
            <w:r>
              <w:rPr>
                <w:rFonts w:ascii="Arial" w:hAnsi="Arial" w:eastAsia="Times New Roman" w:cs="Arial"/>
                <w:b/>
                <w:sz w:val="16"/>
                <w:szCs w:val="16"/>
              </w:rPr>
              <w:t xml:space="preserve"> of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NUMPAGES  </w:instrText>
            </w:r>
            <w:r>
              <w:rPr>
                <w:rFonts w:ascii="Arial" w:hAnsi="Arial" w:eastAsia="Times New Roman" w:cs="Arial"/>
                <w:b/>
                <w:bCs/>
                <w:sz w:val="16"/>
                <w:szCs w:val="16"/>
              </w:rPr>
              <w:fldChar w:fldCharType="separate"/>
            </w:r>
            <w:r>
              <w:rPr>
                <w:rFonts w:ascii="Arial" w:hAnsi="Arial" w:eastAsia="Times New Roman" w:cs="Arial"/>
                <w:b/>
                <w:bCs/>
                <w:sz w:val="16"/>
                <w:szCs w:val="16"/>
              </w:rPr>
              <w:t>3</w:t>
            </w:r>
            <w:r>
              <w:rPr>
                <w:rFonts w:ascii="Arial" w:hAnsi="Arial" w:eastAsia="Times New Roman" w:cs="Arial"/>
                <w:b/>
                <w:sz w:val="16"/>
                <w:szCs w:val="16"/>
              </w:rPr>
              <w:fldChar w:fldCharType="end"/>
            </w:r>
          </w:sdtContent>
        </w:sdt>
      </w:sdtContent>
    </w:sdt>
    <w:r>
      <w:rPr>
        <w:rFonts w:ascii="Arial" w:hAnsi="Arial" w:eastAsia="Times New Roman"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spacing w:after="0" w:line="240" w:lineRule="auto"/>
      <w:jc w:val="both"/>
      <w:rPr>
        <w:rFonts w:ascii="Arial" w:hAnsi="Arial" w:eastAsia="Times New Roman" w:cs="Arial"/>
        <w:b/>
        <w:sz w:val="16"/>
        <w:szCs w:val="16"/>
      </w:rPr>
    </w:pPr>
  </w:p>
  <w:p>
    <w:pPr>
      <w:pBdr>
        <w:top w:val="single" w:color="auto" w:sz="4" w:space="1"/>
      </w:pBdr>
      <w:tabs>
        <w:tab w:val="right" w:pos="9026"/>
      </w:tabs>
      <w:spacing w:after="0" w:line="240" w:lineRule="auto"/>
      <w:jc w:val="both"/>
      <w:rPr>
        <w:rFonts w:ascii="Arial" w:hAnsi="Arial" w:eastAsia="Times New Roman" w:cs="Arial"/>
        <w:b/>
        <w:sz w:val="16"/>
        <w:szCs w:val="16"/>
      </w:rPr>
    </w:pPr>
    <w:sdt>
      <w:sdtPr>
        <w:rPr>
          <w:rFonts w:ascii="Arial" w:hAnsi="Arial" w:eastAsia="Times New Roman" w:cs="Arial"/>
          <w:b/>
          <w:sz w:val="16"/>
          <w:szCs w:val="16"/>
        </w:rPr>
        <w:id w:val="2052884856"/>
        <w:docPartObj>
          <w:docPartGallery w:val="autotext"/>
        </w:docPartObj>
      </w:sdtPr>
      <w:sdtEndPr>
        <w:rPr>
          <w:rFonts w:ascii="Arial" w:hAnsi="Arial" w:eastAsia="Times New Roman" w:cs="Arial"/>
          <w:b/>
          <w:sz w:val="16"/>
          <w:szCs w:val="16"/>
        </w:rPr>
      </w:sdtEndPr>
      <w:sdtContent>
        <w:sdt>
          <w:sdtPr>
            <w:rPr>
              <w:rFonts w:ascii="Arial" w:hAnsi="Arial" w:eastAsia="Times New Roman" w:cs="Arial"/>
              <w:b/>
              <w:sz w:val="16"/>
              <w:szCs w:val="16"/>
            </w:rPr>
            <w:id w:val="305601562"/>
            <w:docPartObj>
              <w:docPartGallery w:val="autotext"/>
            </w:docPartObj>
          </w:sdtPr>
          <w:sdtEndPr>
            <w:rPr>
              <w:rFonts w:ascii="Arial" w:hAnsi="Arial" w:eastAsia="Times New Roman" w:cs="Arial"/>
              <w:b/>
              <w:sz w:val="16"/>
              <w:szCs w:val="16"/>
            </w:rPr>
          </w:sdtEndPr>
          <w:sdtContent>
            <w:r>
              <w:rPr>
                <w:rFonts w:ascii="Arial" w:hAnsi="Arial" w:eastAsia="Times New Roman" w:cs="Arial"/>
                <w:b/>
                <w:sz w:val="16"/>
                <w:szCs w:val="16"/>
              </w:rPr>
              <w:t xml:space="preserve">Page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PAGE </w:instrText>
            </w:r>
            <w:r>
              <w:rPr>
                <w:rFonts w:ascii="Arial" w:hAnsi="Arial" w:eastAsia="Times New Roman" w:cs="Arial"/>
                <w:b/>
                <w:bCs/>
                <w:sz w:val="16"/>
                <w:szCs w:val="16"/>
              </w:rPr>
              <w:fldChar w:fldCharType="separate"/>
            </w:r>
            <w:r>
              <w:rPr>
                <w:rFonts w:ascii="Arial" w:hAnsi="Arial" w:eastAsia="Times New Roman" w:cs="Arial"/>
                <w:b/>
                <w:bCs/>
                <w:sz w:val="16"/>
                <w:szCs w:val="16"/>
              </w:rPr>
              <w:t>2</w:t>
            </w:r>
            <w:r>
              <w:rPr>
                <w:rFonts w:ascii="Arial" w:hAnsi="Arial" w:eastAsia="Times New Roman" w:cs="Arial"/>
                <w:b/>
                <w:sz w:val="16"/>
                <w:szCs w:val="16"/>
              </w:rPr>
              <w:fldChar w:fldCharType="end"/>
            </w:r>
            <w:r>
              <w:rPr>
                <w:rFonts w:ascii="Arial" w:hAnsi="Arial" w:eastAsia="Times New Roman" w:cs="Arial"/>
                <w:b/>
                <w:sz w:val="16"/>
                <w:szCs w:val="16"/>
              </w:rPr>
              <w:t xml:space="preserve"> of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NUMPAGES  </w:instrText>
            </w:r>
            <w:r>
              <w:rPr>
                <w:rFonts w:ascii="Arial" w:hAnsi="Arial" w:eastAsia="Times New Roman" w:cs="Arial"/>
                <w:b/>
                <w:bCs/>
                <w:sz w:val="16"/>
                <w:szCs w:val="16"/>
              </w:rPr>
              <w:fldChar w:fldCharType="separate"/>
            </w:r>
            <w:r>
              <w:rPr>
                <w:rFonts w:ascii="Arial" w:hAnsi="Arial" w:eastAsia="Times New Roman" w:cs="Arial"/>
                <w:b/>
                <w:bCs/>
                <w:sz w:val="16"/>
                <w:szCs w:val="16"/>
              </w:rPr>
              <w:t>3</w:t>
            </w:r>
            <w:r>
              <w:rPr>
                <w:rFonts w:ascii="Arial" w:hAnsi="Arial" w:eastAsia="Times New Roman" w:cs="Arial"/>
                <w:b/>
                <w:sz w:val="16"/>
                <w:szCs w:val="16"/>
              </w:rPr>
              <w:fldChar w:fldCharType="end"/>
            </w:r>
          </w:sdtContent>
        </w:sdt>
      </w:sdtContent>
    </w:sdt>
    <w:r>
      <w:rPr>
        <w:rFonts w:ascii="Arial" w:hAnsi="Arial" w:eastAsia="Times New Roman" w:cs="Arial"/>
        <w:b/>
        <w:sz w:val="16"/>
        <w:szCs w:val="16"/>
      </w:rPr>
      <w:ptab w:relativeTo="margin" w:alignment="right" w:leader="none"/>
    </w:r>
    <w:r>
      <w:rPr>
        <w:rFonts w:ascii="Arial" w:hAnsi="Arial" w:eastAsia="Times New Roman" w:cs="Arial"/>
        <w:b/>
        <w:sz w:val="16"/>
        <w:szCs w:val="16"/>
      </w:rPr>
      <w:t>CSTC Pty Ltd_RTO#0699_</w:t>
    </w:r>
    <w:sdt>
      <w:sdtPr>
        <w:rPr>
          <w:rFonts w:ascii="Arial" w:hAnsi="Arial" w:eastAsia="Times New Roman" w:cs="Arial"/>
          <w:b/>
          <w:sz w:val="16"/>
          <w:szCs w:val="16"/>
        </w:rPr>
        <w:alias w:val="Status"/>
        <w:id w:val="1836192853"/>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eastAsia="Times New Roman" w:cs="Arial"/>
          <w:b/>
          <w:sz w:val="16"/>
          <w:szCs w:val="16"/>
        </w:rPr>
      </w:sdtEndPr>
      <w:sdtContent>
        <w:r>
          <w:rPr>
            <w:rFonts w:ascii="Arial" w:hAnsi="Arial" w:eastAsia="Times New Roman" w:cs="Arial"/>
            <w:b/>
            <w:sz w:val="16"/>
            <w:szCs w:val="16"/>
          </w:rPr>
          <w:t>v1-0_24/02/2023</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id w:val="447748590"/>
        <w:placeholder>
          <w:docPart w:val="791A78E60D274F9F960878F58C3A7BEE"/>
        </w:placeholder>
        <w:dataBinding w:prefixMappings="xmlns:ns0='http://purl.org/dc/elements/1.1/' xmlns:ns1='http://schemas.openxmlformats.org/package/2006/metadata/core-properties' " w:xpath="/ns1:coreProperties[1]/ns1:category[1]" w:storeItemID="{6C3C8BC8-F283-45AE-878A-BAB7291924A1}"/>
        <w:text/>
      </w:sdtPr>
      <w:sdtEndPr>
        <w:rPr>
          <w:rFonts w:ascii="Arial" w:hAnsi="Arial" w:cs="Arial"/>
          <w:b/>
          <w:sz w:val="16"/>
          <w:szCs w:val="16"/>
        </w:rPr>
      </w:sdtEndPr>
      <w:sdtContent>
        <w:r>
          <w:rPr>
            <w:rFonts w:ascii="Arial" w:hAnsi="Arial" w:cs="Arial"/>
            <w:b/>
            <w:sz w:val="16"/>
            <w:szCs w:val="16"/>
          </w:rPr>
          <w:t>Handout 1</w:t>
        </w:r>
      </w:sdtContent>
    </w:sdt>
    <w:r>
      <w:rPr>
        <w:rFonts w:ascii="Arial" w:hAnsi="Arial" w:cs="Arial"/>
        <w:b/>
        <w:sz w:val="16"/>
        <w:szCs w:val="16"/>
      </w:rPr>
      <w:t xml:space="preserve"> - </w:t>
    </w:r>
    <w:sdt>
      <w:sdtPr>
        <w:rPr>
          <w:rFonts w:ascii="Arial" w:hAnsi="Arial" w:cs="Arial"/>
          <w:b/>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CPCCBC4001</w:t>
        </w:r>
      </w:sdtContent>
    </w:sdt>
    <w:r>
      <w:rPr>
        <w:rFonts w:ascii="Arial" w:hAnsi="Arial" w:cs="Arial"/>
        <w:b/>
        <w:sz w:val="16"/>
        <w:szCs w:val="16"/>
      </w:rPr>
      <w:t xml:space="preserve"> </w:t>
    </w:r>
    <w:sdt>
      <w:sdtPr>
        <w:rPr>
          <w:rFonts w:ascii="Arial" w:hAnsi="Arial" w:cs="Arial"/>
          <w:b/>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building codes and standards to the construction process for Class 1 and 10 buildings</w:t>
        </w:r>
      </w:sdtContent>
    </w:sdt>
  </w:p>
  <w:p>
    <w:pPr>
      <w:pBdr>
        <w:bottom w:val="single" w:color="auto" w:sz="4" w:space="1"/>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spacing w:after="0" w:line="240" w:lineRule="auto"/>
      <w:rPr>
        <w:rFonts w:ascii="Arial" w:hAnsi="Arial" w:cs="Arial"/>
        <w:sz w:val="16"/>
        <w:szCs w:val="16"/>
      </w:rPr>
    </w:pPr>
    <w:sdt>
      <w:sdtPr>
        <w:rPr>
          <w:rFonts w:ascii="Arial" w:hAnsi="Arial" w:cs="Arial"/>
          <w:b/>
          <w:sz w:val="16"/>
          <w:szCs w:val="16"/>
        </w:rPr>
        <w:alias w:val="Category"/>
        <w:id w:val="1874728516"/>
        <w:placeholder>
          <w:docPart w:val="D5E7A13610B847AC999E957C02531181"/>
        </w:placeholder>
        <w:dataBinding w:prefixMappings="xmlns:ns0='http://purl.org/dc/elements/1.1/' xmlns:ns1='http://schemas.openxmlformats.org/package/2006/metadata/core-properties' " w:xpath="/ns1:coreProperties[1]/ns1:category[1]" w:storeItemID="{6C3C8BC8-F283-45AE-878A-BAB7291924A1}"/>
        <w:text/>
      </w:sdtPr>
      <w:sdtEndPr>
        <w:rPr>
          <w:rFonts w:ascii="Arial" w:hAnsi="Arial" w:cs="Arial"/>
          <w:b/>
          <w:sz w:val="16"/>
          <w:szCs w:val="16"/>
        </w:rPr>
      </w:sdtEndPr>
      <w:sdtContent>
        <w:r>
          <w:rPr>
            <w:rFonts w:ascii="Arial" w:hAnsi="Arial" w:cs="Arial"/>
            <w:b/>
            <w:sz w:val="16"/>
            <w:szCs w:val="16"/>
          </w:rPr>
          <w:t>Handout 1</w:t>
        </w:r>
      </w:sdtContent>
    </w:sdt>
    <w:r>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CPCCBC4001</w:t>
        </w:r>
      </w:sdtContent>
    </w:sdt>
    <w:r>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building codes and standards to the construction process for Class 1 and 10 buildings</w:t>
        </w:r>
      </w:sdtContent>
    </w:sdt>
  </w:p>
  <w:p>
    <w:pPr>
      <w:pBdr>
        <w:bottom w:val="single" w:color="auto" w:sz="4" w:space="1"/>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981943"/>
    <w:multiLevelType w:val="multilevel"/>
    <w:tmpl w:val="1598194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8133AE1"/>
    <w:multiLevelType w:val="multilevel"/>
    <w:tmpl w:val="18133AE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FF52AB1"/>
    <w:multiLevelType w:val="multilevel"/>
    <w:tmpl w:val="1FF52AB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64451147"/>
    <w:multiLevelType w:val="singleLevel"/>
    <w:tmpl w:val="64451147"/>
    <w:lvl w:ilvl="0" w:tentative="0">
      <w:start w:val="1"/>
      <w:numFmt w:val="lowerRoman"/>
      <w:suff w:val="space"/>
      <w:lvlText w:val="(%1)"/>
      <w:lvlJc w:val="left"/>
    </w:lvl>
  </w:abstractNum>
  <w:abstractNum w:abstractNumId="4">
    <w:nsid w:val="7BAB263B"/>
    <w:multiLevelType w:val="multilevel"/>
    <w:tmpl w:val="7BAB263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evenAndOddHeaders w:val="1"/>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AA0F01"/>
    <w:rsid w:val="000262CD"/>
    <w:rsid w:val="00042DC1"/>
    <w:rsid w:val="0008368F"/>
    <w:rsid w:val="00086D65"/>
    <w:rsid w:val="000A359C"/>
    <w:rsid w:val="000E275F"/>
    <w:rsid w:val="000E6964"/>
    <w:rsid w:val="001E4066"/>
    <w:rsid w:val="002966A6"/>
    <w:rsid w:val="002D412E"/>
    <w:rsid w:val="002E71A1"/>
    <w:rsid w:val="003707F3"/>
    <w:rsid w:val="003B1C04"/>
    <w:rsid w:val="00405B7A"/>
    <w:rsid w:val="004A7014"/>
    <w:rsid w:val="004C79E4"/>
    <w:rsid w:val="005C6694"/>
    <w:rsid w:val="005E11E6"/>
    <w:rsid w:val="00673CF1"/>
    <w:rsid w:val="006C37FD"/>
    <w:rsid w:val="00742C82"/>
    <w:rsid w:val="007639BF"/>
    <w:rsid w:val="00774DBB"/>
    <w:rsid w:val="007D5F43"/>
    <w:rsid w:val="00800479"/>
    <w:rsid w:val="008045D9"/>
    <w:rsid w:val="00863122"/>
    <w:rsid w:val="008727DC"/>
    <w:rsid w:val="009C5132"/>
    <w:rsid w:val="00A13A49"/>
    <w:rsid w:val="00A77466"/>
    <w:rsid w:val="00AA0F01"/>
    <w:rsid w:val="00AD63EE"/>
    <w:rsid w:val="00B91DE7"/>
    <w:rsid w:val="00BA5E42"/>
    <w:rsid w:val="00BD7D15"/>
    <w:rsid w:val="00C633D3"/>
    <w:rsid w:val="00D55BE0"/>
    <w:rsid w:val="00D73E5E"/>
    <w:rsid w:val="00DF7E8E"/>
    <w:rsid w:val="00E01439"/>
    <w:rsid w:val="00E01B94"/>
    <w:rsid w:val="00E3137C"/>
    <w:rsid w:val="00E47AA8"/>
    <w:rsid w:val="00E84220"/>
    <w:rsid w:val="00E84316"/>
    <w:rsid w:val="00F10A38"/>
    <w:rsid w:val="00FA1572"/>
    <w:rsid w:val="00FA2BE9"/>
    <w:rsid w:val="00FA6297"/>
    <w:rsid w:val="00FC439C"/>
    <w:rsid w:val="17371E2D"/>
    <w:rsid w:val="34A63877"/>
    <w:rsid w:val="38EE45FF"/>
    <w:rsid w:val="72625822"/>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2"/>
    <w:basedOn w:val="1"/>
    <w:next w:val="1"/>
    <w:unhideWhenUsed/>
    <w:qFormat/>
    <w:uiPriority w:val="9"/>
    <w:pPr>
      <w:keepNext/>
      <w:keepLines/>
      <w:outlineLvl w:val="1"/>
    </w:pPr>
    <w:rPr>
      <w:rFonts w:asciiTheme="majorHAnsi" w:hAnsiTheme="majorHAnsi" w:eastAsiaTheme="majorEastAsia" w:cstheme="majorBidi"/>
      <w:color w:val="2F5597" w:themeColor="accent1" w:themeShade="BF"/>
      <w:sz w:val="26"/>
      <w:szCs w:val="26"/>
    </w:rPr>
  </w:style>
  <w:style w:type="paragraph" w:styleId="3">
    <w:name w:val="heading 3"/>
    <w:basedOn w:val="1"/>
    <w:next w:val="1"/>
    <w:unhideWhenUsed/>
    <w:qFormat/>
    <w:uiPriority w:val="9"/>
    <w:pPr>
      <w:keepNext/>
      <w:keepLines/>
      <w:outlineLvl w:val="2"/>
    </w:pPr>
    <w:rPr>
      <w:rFonts w:asciiTheme="majorHAnsi" w:hAnsiTheme="majorHAnsi" w:eastAsiaTheme="majorEastAsia" w:cstheme="majorBidi"/>
      <w:color w:val="203864" w:themeColor="accent1" w:themeShade="80"/>
      <w:sz w:val="24"/>
      <w:szCs w:val="24"/>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footer"/>
    <w:basedOn w:val="1"/>
    <w:link w:val="11"/>
    <w:unhideWhenUsed/>
    <w:uiPriority w:val="99"/>
    <w:pPr>
      <w:tabs>
        <w:tab w:val="center" w:pos="4513"/>
        <w:tab w:val="right" w:pos="9026"/>
      </w:tabs>
      <w:spacing w:after="0" w:line="240" w:lineRule="auto"/>
    </w:pPr>
  </w:style>
  <w:style w:type="paragraph" w:styleId="5">
    <w:name w:val="header"/>
    <w:basedOn w:val="1"/>
    <w:link w:val="10"/>
    <w:unhideWhenUsed/>
    <w:uiPriority w:val="99"/>
    <w:pPr>
      <w:tabs>
        <w:tab w:val="center" w:pos="4513"/>
        <w:tab w:val="right" w:pos="9026"/>
      </w:tabs>
      <w:spacing w:after="0" w:line="240" w:lineRule="auto"/>
    </w:pPr>
  </w:style>
  <w:style w:type="paragraph" w:styleId="6">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styleId="9">
    <w:name w:val="Hyperlink"/>
    <w:basedOn w:val="8"/>
    <w:semiHidden/>
    <w:unhideWhenUsed/>
    <w:uiPriority w:val="99"/>
    <w:rPr>
      <w:color w:val="0000FF"/>
      <w:u w:val="single"/>
    </w:rPr>
  </w:style>
  <w:style w:type="character" w:customStyle="1" w:styleId="10">
    <w:name w:val="Header Char"/>
    <w:basedOn w:val="8"/>
    <w:link w:val="5"/>
    <w:qFormat/>
    <w:uiPriority w:val="99"/>
  </w:style>
  <w:style w:type="character" w:customStyle="1" w:styleId="11">
    <w:name w:val="Footer Char"/>
    <w:basedOn w:val="8"/>
    <w:link w:val="4"/>
    <w:qFormat/>
    <w:uiPriority w:val="99"/>
  </w:style>
  <w:style w:type="paragraph" w:customStyle="1" w:styleId="12">
    <w:name w:val="(22) TA Hidden Written Response"/>
    <w:link w:val="13"/>
    <w:qFormat/>
    <w:uiPriority w:val="0"/>
    <w:pPr>
      <w:spacing w:after="0" w:line="480" w:lineRule="exact"/>
      <w:contextualSpacing/>
      <w:jc w:val="both"/>
    </w:pPr>
    <w:rPr>
      <w:rFonts w:ascii="Arial" w:hAnsi="Arial" w:cs="Arial" w:eastAsiaTheme="minorHAnsi"/>
      <w:vanish/>
      <w:color w:val="002060"/>
      <w:sz w:val="22"/>
      <w:szCs w:val="22"/>
      <w:lang w:val="en-AU" w:eastAsia="en-US" w:bidi="ar-SA"/>
    </w:rPr>
  </w:style>
  <w:style w:type="character" w:customStyle="1" w:styleId="13">
    <w:name w:val="(22) TA Hidden Written Response Char"/>
    <w:basedOn w:val="8"/>
    <w:link w:val="12"/>
    <w:uiPriority w:val="0"/>
    <w:rPr>
      <w:rFonts w:ascii="Arial" w:hAnsi="Arial" w:cs="Arial"/>
      <w:vanish/>
      <w:color w:val="002060"/>
    </w:rPr>
  </w:style>
  <w:style w:type="paragraph" w:styleId="14">
    <w:name w:val="List Paragraph"/>
    <w:basedOn w:val="1"/>
    <w:qFormat/>
    <w:uiPriority w:val="34"/>
    <w:pPr>
      <w:ind w:left="720"/>
      <w:contextualSpacing/>
    </w:pPr>
  </w:style>
  <w:style w:type="character" w:styleId="15">
    <w:name w:val="Placeholder Text"/>
    <w:basedOn w:val="8"/>
    <w:semiHidden/>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91A78E60D274F9F960878F58C3A7BEE"/>
        <w:style w:val=""/>
        <w:category>
          <w:name w:val="General"/>
          <w:gallery w:val="placeholder"/>
        </w:category>
        <w:types>
          <w:type w:val="bbPlcHdr"/>
        </w:types>
        <w:behaviors>
          <w:behavior w:val="content"/>
        </w:behaviors>
        <w:description w:val=""/>
        <w:guid w:val="{9206103C-1EF3-49DD-B4DC-4FF6804F588D}"/>
      </w:docPartPr>
      <w:docPartBody>
        <w:p>
          <w:r>
            <w:rPr>
              <w:rStyle w:val="4"/>
            </w:rPr>
            <w:t>[Category]</w:t>
          </w:r>
        </w:p>
      </w:docPartBody>
    </w:docPart>
    <w:docPart>
      <w:docPartPr>
        <w:name w:val="D5E7A13610B847AC999E957C02531181"/>
        <w:style w:val=""/>
        <w:category>
          <w:name w:val="General"/>
          <w:gallery w:val="placeholder"/>
        </w:category>
        <w:types>
          <w:type w:val="bbPlcHdr"/>
        </w:types>
        <w:behaviors>
          <w:behavior w:val="content"/>
        </w:behaviors>
        <w:description w:val=""/>
        <w:guid w:val="{9ECF2F16-7CD7-4C3D-AD03-8DE8ADD1663E}"/>
      </w:docPartPr>
      <w:docPartBody>
        <w:p>
          <w:r>
            <w:rPr>
              <w:rStyle w:val="4"/>
            </w:rPr>
            <w:t>[Category]</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EA6"/>
    <w:rsid w:val="00372EA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qFormat="1" w:unhideWhenUsed="0" w:uiPriority="99" w:name="Placeholder Text"/>
  </w:latentStyles>
  <w:style w:type="paragraph" w:default="1" w:styleId="1">
    <w:name w:val="Normal"/>
    <w:qFormat/>
    <w:uiPriority w:val="0"/>
    <w:pPr>
      <w:spacing w:after="160" w:line="259" w:lineRule="auto"/>
    </w:pPr>
    <w:rPr>
      <w:rFonts w:cs="Times New Roman" w:asciiTheme="minorHAnsi" w:hAnsiTheme="minorHAnsi" w:eastAsiaTheme="minorEastAsia"/>
      <w:kern w:val="2"/>
      <w:sz w:val="3276"/>
      <w:szCs w:val="3276"/>
      <w:lang w:val="en-AU" w:eastAsia="en-AU"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366</Words>
  <Characters>2090</Characters>
  <Lines>17</Lines>
  <Paragraphs>4</Paragraphs>
  <TotalTime>4</TotalTime>
  <ScaleCrop>false</ScaleCrop>
  <LinksUpToDate>false</LinksUpToDate>
  <CharactersWithSpaces>2452</CharactersWithSpaces>
  <Application>WPS Office_12.1.0.15946_F1E327BC-269C-435d-A152-05C5408002CA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Handout 1</cp:category>
  <dcterms:created xsi:type="dcterms:W3CDTF">2023-02-24T03:59:00Z</dcterms:created>
  <dc:creator>Heidi Newton</dc:creator>
  <cp:lastModifiedBy>Administrator</cp:lastModifiedBy>
  <cp:lastPrinted>2022-02-08T03:08:00Z</cp:lastPrinted>
  <dcterms:modified xsi:type="dcterms:W3CDTF">2024-01-01T23:57:40Z</dcterms:modified>
  <dc:subject>Apply building codes and standards to the construction process for Class 1 and 10 buildings</dc:subject>
  <dc:title>CPCCBC4001</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2052-12.1.0.15946</vt:lpwstr>
  </property>
  <property fmtid="{D5CDD505-2E9C-101B-9397-08002B2CF9AE}" pid="3" name="ICV">
    <vt:lpwstr>923440B063474DE79C56D210217E9549_12</vt:lpwstr>
  </property>
</Properties>
</file>