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Workplace Assessment 1 – Assessor’s Checklist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(This form is for the assessor’s use only)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Purpose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lists the specific criteria that the candidate’s submission for </w:t>
      </w: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Workplace Assessment 1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must satisfactorily meet.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This form is to be completed by the candidate’s assessor to document their assessment of the candidate’s submission in Workplace Assessment 1.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Overview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this task, the candidate is required to complete the following documents for the building and construction project they are undertaking: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Hazard identification form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Risk register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 this task, the candidate will be assessed in their: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knowledge of hazard identifications and risk assessments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skills relevant to completing a hazard identification and site risk assessment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Assessor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During the assessment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Review the candidate’s submissions:</w:t>
      </w:r>
    </w:p>
    <w:p>
      <w:pPr>
        <w:pStyle w:val="17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Hazard identification form</w:t>
      </w:r>
    </w:p>
    <w:p>
      <w:pPr>
        <w:pStyle w:val="17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Risk register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Compare the content of the candidate’s submissions with any project documents or legislative requirements that the candidate accessed and reviewed.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each criterion listed in this checklist:</w:t>
      </w:r>
    </w:p>
    <w:p>
      <w:pPr>
        <w:pStyle w:val="17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YES if you confirm the candidate’s submission satisfactorily meets the criterion.</w:t>
      </w:r>
    </w:p>
    <w:p>
      <w:pPr>
        <w:pStyle w:val="17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NO if you confirm the candidate’s submission does not satisfactorily meet the criterion.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Write specific comments on the candidate’s performance in each criterion. Your feedback/insights will help address any area/s for improvement. 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After the assessment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, including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Declaration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on the last page of this form. Your signature must be handwritten.</w:t>
      </w:r>
    </w:p>
    <w:p>
      <w:pPr>
        <w:pStyle w:val="17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rPr>
          <w:rFonts w:ascii="Arial" w:hAnsi="Arial" w:cs="Arial" w:eastAsiaTheme="majorEastAsia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Candidate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is assessed by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Yanzhong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Context of the Assessment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Resources required for the assessment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Building and construction project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Opportunities to conduct hazard identifications and risk assessments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Policies and procedures relevant to: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left="1292"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Conducting hazard identifications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left="1292"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Conducting site risk assessments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Project documents, such as, but not limited to: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left="1292"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Scope of work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left="1292"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 breakdown structure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left="1292"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Material safety data sheets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left="1292"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Manufacturer’s instructions for plant and equipment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left="1292"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Incident reports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left="1292"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Records of previous consultations with workers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0" w:after="160" w:line="259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Legislative requirements relevant to the building and construction project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Templates for: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left="1292"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Hazard identification form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left="1292"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Risk register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Digital devices, applications, or software that can be used to access relevant project documents or legislative requirements, such as, but not limited to: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left="1292"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Laptop or desktop computer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left="1292"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PDF viewer programs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left="1292"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Internet browsers</w:t>
            </w:r>
          </w:p>
        </w:tc>
      </w:tr>
    </w:tbl>
    <w:p>
      <w:r>
        <w:br w:type="page"/>
      </w:r>
    </w:p>
    <w:p>
      <w:pPr>
        <w:pStyle w:val="2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Hazard identification form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55"/>
        <w:gridCol w:w="1553"/>
        <w:gridCol w:w="2511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4955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candidate’s hazard identification form submission:</w:t>
            </w:r>
          </w:p>
        </w:tc>
        <w:tc>
          <w:tcPr>
            <w:tcW w:w="1553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2511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4955" w:type="dxa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Identifies hazards on the building and construction site.</w:t>
            </w:r>
          </w:p>
        </w:tc>
        <w:tc>
          <w:tcPr>
            <w:tcW w:w="1553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511" w:type="dxa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4955" w:type="dxa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For each hazard identified:</w:t>
            </w:r>
          </w:p>
        </w:tc>
        <w:tc>
          <w:tcPr>
            <w:tcW w:w="1553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2511" w:type="dxa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955" w:type="dxa"/>
            <w:shd w:val="clear" w:color="auto" w:fill="auto"/>
          </w:tcPr>
          <w:p>
            <w:pPr>
              <w:pStyle w:val="17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Identifies the site personnel who may be affected by the hazard.</w:t>
            </w:r>
          </w:p>
        </w:tc>
        <w:tc>
          <w:tcPr>
            <w:tcW w:w="1553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511" w:type="dxa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955" w:type="dxa"/>
            <w:shd w:val="clear" w:color="auto" w:fill="auto"/>
          </w:tcPr>
          <w:p>
            <w:pPr>
              <w:pStyle w:val="17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Identifies the risks associated with the hazard.</w:t>
            </w:r>
          </w:p>
        </w:tc>
        <w:tc>
          <w:tcPr>
            <w:tcW w:w="1553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511" w:type="dxa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955" w:type="dxa"/>
            <w:shd w:val="clear" w:color="auto" w:fill="auto"/>
          </w:tcPr>
          <w:p>
            <w:pPr>
              <w:pStyle w:val="17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Identifies the relevant control measure that must be put in place.</w:t>
            </w:r>
          </w:p>
        </w:tc>
        <w:tc>
          <w:tcPr>
            <w:tcW w:w="1553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511" w:type="dxa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955" w:type="dxa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For each control measure identified:</w:t>
            </w:r>
          </w:p>
        </w:tc>
        <w:tc>
          <w:tcPr>
            <w:tcW w:w="1553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2511" w:type="dxa"/>
            <w:shd w:val="clear" w:color="auto" w:fill="auto"/>
          </w:tcPr>
          <w:p>
            <w:pPr>
              <w:spacing w:before="120" w:after="120" w:line="276" w:lineRule="auto"/>
              <w:ind w:left="792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955" w:type="dxa"/>
            <w:shd w:val="clear" w:color="auto" w:fill="auto"/>
          </w:tcPr>
          <w:p>
            <w:pPr>
              <w:pStyle w:val="17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101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Identifies the personnel responsible for implementing the control measure.</w:t>
            </w:r>
          </w:p>
        </w:tc>
        <w:tc>
          <w:tcPr>
            <w:tcW w:w="1553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511" w:type="dxa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955" w:type="dxa"/>
            <w:shd w:val="clear" w:color="auto" w:fill="auto"/>
          </w:tcPr>
          <w:p>
            <w:pPr>
              <w:pStyle w:val="17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101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Identifies the date by when the control measure must be implemented.</w:t>
            </w:r>
          </w:p>
        </w:tc>
        <w:tc>
          <w:tcPr>
            <w:tcW w:w="1553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511" w:type="dxa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4955" w:type="dxa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Control measures identified are consistent with the following:</w:t>
            </w:r>
          </w:p>
        </w:tc>
        <w:tc>
          <w:tcPr>
            <w:tcW w:w="1553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2511" w:type="dxa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955" w:type="dxa"/>
            <w:shd w:val="clear" w:color="auto" w:fill="auto"/>
          </w:tcPr>
          <w:p>
            <w:pPr>
              <w:pStyle w:val="17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Legislative requirements applicable to control measures required on the building and construction project.</w:t>
            </w:r>
          </w:p>
        </w:tc>
        <w:tc>
          <w:tcPr>
            <w:tcW w:w="1553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2511" w:type="dxa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955" w:type="dxa"/>
            <w:shd w:val="clear" w:color="auto" w:fill="auto"/>
          </w:tcPr>
          <w:p>
            <w:pPr>
              <w:pStyle w:val="17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Organisational policies relevant to control measures required on the building and construction project.</w:t>
            </w:r>
          </w:p>
        </w:tc>
        <w:tc>
          <w:tcPr>
            <w:tcW w:w="1553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2511" w:type="dxa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Risk register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98"/>
        <w:gridCol w:w="1560"/>
        <w:gridCol w:w="2361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5098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candidate’s risk register submission:</w:t>
            </w:r>
          </w:p>
        </w:tc>
        <w:tc>
          <w:tcPr>
            <w:tcW w:w="1560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2361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5098" w:type="dxa"/>
            <w:shd w:val="clear" w:color="auto" w:fill="auto"/>
          </w:tcPr>
          <w:p>
            <w:pPr>
              <w:pStyle w:val="17"/>
              <w:numPr>
                <w:ilvl w:val="0"/>
                <w:numId w:val="7"/>
              </w:numPr>
              <w:tabs>
                <w:tab w:val="left" w:pos="180"/>
              </w:tabs>
              <w:spacing w:before="120" w:after="120" w:line="276" w:lineRule="auto"/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Identifies risks on the building and construction site.</w:t>
            </w:r>
          </w:p>
        </w:tc>
        <w:tc>
          <w:tcPr>
            <w:tcW w:w="1560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361" w:type="dxa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5098" w:type="dxa"/>
            <w:shd w:val="clear" w:color="auto" w:fill="auto"/>
          </w:tcPr>
          <w:p>
            <w:pPr>
              <w:pStyle w:val="17"/>
              <w:numPr>
                <w:ilvl w:val="0"/>
                <w:numId w:val="7"/>
              </w:numPr>
              <w:tabs>
                <w:tab w:val="left" w:pos="180"/>
              </w:tabs>
              <w:spacing w:before="120" w:after="120" w:line="276" w:lineRule="auto"/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For each risk identified:</w:t>
            </w:r>
          </w:p>
        </w:tc>
        <w:tc>
          <w:tcPr>
            <w:tcW w:w="1560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2361" w:type="dxa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5098" w:type="dxa"/>
            <w:shd w:val="clear" w:color="auto" w:fill="auto"/>
          </w:tcPr>
          <w:p>
            <w:pPr>
              <w:pStyle w:val="17"/>
              <w:numPr>
                <w:ilvl w:val="0"/>
                <w:numId w:val="8"/>
              </w:numPr>
              <w:tabs>
                <w:tab w:val="left" w:pos="180"/>
              </w:tabs>
              <w:spacing w:before="120" w:after="120" w:line="276" w:lineRule="auto"/>
              <w:ind w:left="1156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risks are consistent with the risk identified in the candidate’s hazard identification form.</w:t>
            </w:r>
          </w:p>
        </w:tc>
        <w:tc>
          <w:tcPr>
            <w:tcW w:w="1560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361" w:type="dxa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5098" w:type="dxa"/>
            <w:shd w:val="clear" w:color="auto" w:fill="auto"/>
          </w:tcPr>
          <w:p>
            <w:pPr>
              <w:pStyle w:val="17"/>
              <w:numPr>
                <w:ilvl w:val="0"/>
                <w:numId w:val="8"/>
              </w:numPr>
              <w:tabs>
                <w:tab w:val="left" w:pos="180"/>
              </w:tabs>
              <w:spacing w:before="120" w:after="120" w:line="276" w:lineRule="auto"/>
              <w:ind w:left="1156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Identifies the area of the construction site where the risk is located.</w:t>
            </w:r>
          </w:p>
        </w:tc>
        <w:tc>
          <w:tcPr>
            <w:tcW w:w="1560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361" w:type="dxa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5098" w:type="dxa"/>
            <w:shd w:val="clear" w:color="auto" w:fill="auto"/>
          </w:tcPr>
          <w:p>
            <w:pPr>
              <w:pStyle w:val="17"/>
              <w:numPr>
                <w:ilvl w:val="0"/>
                <w:numId w:val="8"/>
              </w:numPr>
              <w:tabs>
                <w:tab w:val="left" w:pos="180"/>
              </w:tabs>
              <w:spacing w:before="120" w:after="120" w:line="276" w:lineRule="auto"/>
              <w:ind w:left="1156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Has a description of the risk.</w:t>
            </w:r>
          </w:p>
        </w:tc>
        <w:tc>
          <w:tcPr>
            <w:tcW w:w="1560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361" w:type="dxa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5098" w:type="dxa"/>
            <w:shd w:val="clear" w:color="auto" w:fill="auto"/>
          </w:tcPr>
          <w:p>
            <w:pPr>
              <w:pStyle w:val="17"/>
              <w:numPr>
                <w:ilvl w:val="0"/>
                <w:numId w:val="8"/>
              </w:numPr>
              <w:tabs>
                <w:tab w:val="left" w:pos="180"/>
              </w:tabs>
              <w:spacing w:before="120" w:after="120" w:line="276" w:lineRule="auto"/>
              <w:ind w:left="1156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Determines the likelihood of the risk occurring.</w:t>
            </w:r>
          </w:p>
        </w:tc>
        <w:tc>
          <w:tcPr>
            <w:tcW w:w="1560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361" w:type="dxa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5098" w:type="dxa"/>
            <w:shd w:val="clear" w:color="auto" w:fill="auto"/>
          </w:tcPr>
          <w:p>
            <w:pPr>
              <w:pStyle w:val="17"/>
              <w:numPr>
                <w:ilvl w:val="0"/>
                <w:numId w:val="8"/>
              </w:numPr>
              <w:tabs>
                <w:tab w:val="left" w:pos="180"/>
              </w:tabs>
              <w:spacing w:before="120" w:after="120" w:line="276" w:lineRule="auto"/>
              <w:ind w:left="1156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Describes the impact of the risk if it occurs.</w:t>
            </w:r>
          </w:p>
        </w:tc>
        <w:tc>
          <w:tcPr>
            <w:tcW w:w="1560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361" w:type="dxa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5098" w:type="dxa"/>
            <w:shd w:val="clear" w:color="auto" w:fill="auto"/>
          </w:tcPr>
          <w:p>
            <w:pPr>
              <w:pStyle w:val="17"/>
              <w:numPr>
                <w:ilvl w:val="0"/>
                <w:numId w:val="8"/>
              </w:numPr>
              <w:tabs>
                <w:tab w:val="left" w:pos="180"/>
              </w:tabs>
              <w:spacing w:before="120" w:after="120" w:line="276" w:lineRule="auto"/>
              <w:ind w:left="1156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Determines the severity/rating of the risk.</w:t>
            </w:r>
          </w:p>
        </w:tc>
        <w:tc>
          <w:tcPr>
            <w:tcW w:w="1560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361" w:type="dxa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5098" w:type="dxa"/>
            <w:shd w:val="clear" w:color="auto" w:fill="auto"/>
          </w:tcPr>
          <w:p>
            <w:pPr>
              <w:pStyle w:val="17"/>
              <w:numPr>
                <w:ilvl w:val="0"/>
                <w:numId w:val="8"/>
              </w:numPr>
              <w:tabs>
                <w:tab w:val="left" w:pos="180"/>
              </w:tabs>
              <w:spacing w:before="120" w:after="120" w:line="276" w:lineRule="auto"/>
              <w:ind w:left="1156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Identifies the control measure that will address the risk.</w:t>
            </w:r>
          </w:p>
        </w:tc>
        <w:tc>
          <w:tcPr>
            <w:tcW w:w="1560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2361" w:type="dxa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5098" w:type="dxa"/>
            <w:shd w:val="clear" w:color="auto" w:fill="auto"/>
          </w:tcPr>
          <w:p>
            <w:pPr>
              <w:pStyle w:val="17"/>
              <w:numPr>
                <w:ilvl w:val="0"/>
                <w:numId w:val="9"/>
              </w:numPr>
              <w:tabs>
                <w:tab w:val="left" w:pos="180"/>
              </w:tabs>
              <w:spacing w:before="120" w:after="120" w:line="276" w:lineRule="auto"/>
              <w:ind w:left="1865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control measure is consistent with the control measure identified in the candidate’s hazard identification form.</w:t>
            </w:r>
          </w:p>
        </w:tc>
        <w:tc>
          <w:tcPr>
            <w:tcW w:w="1560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361" w:type="dxa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5098" w:type="dxa"/>
            <w:shd w:val="clear" w:color="auto" w:fill="auto"/>
          </w:tcPr>
          <w:p>
            <w:pPr>
              <w:pStyle w:val="17"/>
              <w:numPr>
                <w:ilvl w:val="0"/>
                <w:numId w:val="9"/>
              </w:numPr>
              <w:tabs>
                <w:tab w:val="left" w:pos="180"/>
              </w:tabs>
              <w:spacing w:before="120" w:after="120" w:line="276" w:lineRule="auto"/>
              <w:ind w:left="1865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Determines the revised likelihood of the risk occurring.</w:t>
            </w:r>
          </w:p>
        </w:tc>
        <w:tc>
          <w:tcPr>
            <w:tcW w:w="1560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361" w:type="dxa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5098" w:type="dxa"/>
            <w:shd w:val="clear" w:color="auto" w:fill="auto"/>
          </w:tcPr>
          <w:p>
            <w:pPr>
              <w:pStyle w:val="17"/>
              <w:numPr>
                <w:ilvl w:val="0"/>
                <w:numId w:val="9"/>
              </w:numPr>
              <w:tabs>
                <w:tab w:val="left" w:pos="180"/>
              </w:tabs>
              <w:spacing w:before="120" w:after="120" w:line="276" w:lineRule="auto"/>
              <w:ind w:left="1865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Describes the revised impact of the risk if it occurs.</w:t>
            </w:r>
          </w:p>
        </w:tc>
        <w:tc>
          <w:tcPr>
            <w:tcW w:w="1560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361" w:type="dxa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5098" w:type="dxa"/>
            <w:shd w:val="clear" w:color="auto" w:fill="auto"/>
          </w:tcPr>
          <w:p>
            <w:pPr>
              <w:pStyle w:val="17"/>
              <w:numPr>
                <w:ilvl w:val="0"/>
                <w:numId w:val="9"/>
              </w:numPr>
              <w:tabs>
                <w:tab w:val="left" w:pos="180"/>
              </w:tabs>
              <w:spacing w:before="120" w:after="120" w:line="276" w:lineRule="auto"/>
              <w:ind w:left="1865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Determines the revised severity/rating of the risk.</w:t>
            </w:r>
          </w:p>
        </w:tc>
        <w:tc>
          <w:tcPr>
            <w:tcW w:w="1560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361" w:type="dxa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0"/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2"/>
        <w:gridCol w:w="616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  <w:jc w:val="center"/>
        </w:trPr>
        <w:tc>
          <w:tcPr>
            <w:tcW w:w="5000" w:type="pct"/>
            <w:gridSpan w:val="2"/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br w:type="page"/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Declaration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By signing here, I confirm that I have thoroughly reviewed the candidate’s submissions for this workplace assessment task:</w:t>
            </w:r>
          </w:p>
          <w:p>
            <w:pPr>
              <w:pStyle w:val="17"/>
              <w:numPr>
                <w:ilvl w:val="0"/>
                <w:numId w:val="10"/>
              </w:numPr>
              <w:spacing w:before="120" w:after="120" w:line="276" w:lineRule="auto"/>
              <w:ind w:left="782" w:right="91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Hazard identification form</w:t>
            </w:r>
          </w:p>
          <w:p>
            <w:pPr>
              <w:pStyle w:val="17"/>
              <w:numPr>
                <w:ilvl w:val="0"/>
                <w:numId w:val="10"/>
              </w:numPr>
              <w:spacing w:before="120" w:after="120" w:line="276" w:lineRule="auto"/>
              <w:ind w:left="782" w:right="91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Risk register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Checklist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is true and accurately reflects the candidate’s submission for this workplace task.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signature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drawing>
                <wp:inline distT="0" distB="0" distL="114300" distR="114300">
                  <wp:extent cx="1821180" cy="617220"/>
                  <wp:effectExtent l="0" t="0" r="0" b="11430"/>
                  <wp:docPr id="1" name="图片 1" descr="2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 (1)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118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name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signed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15/05/</w:t>
            </w:r>
            <w:bookmarkStart w:id="0" w:name="_GoBack"/>
            <w:bookmarkEnd w:id="0"/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2023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- Assessor’s Checklist</w:t>
      </w:r>
    </w:p>
    <w:sectPr>
      <w:footerReference r:id="rId5" w:type="default"/>
      <w:footerReference r:id="rId6" w:type="even"/>
      <w:pgSz w:w="11909" w:h="16834"/>
      <w:pgMar w:top="1247" w:right="1440" w:bottom="1247" w:left="1440" w:header="397" w:footer="397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36327398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3215D22D445847688E81615A0653AF0D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v1-1_06/12/2022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2105140936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-188989256"/>
            <w:placeholder>
              <w:docPart w:val="56C2BDEADB8149098F816728ED92AE9E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v1-1_06/12/2022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5E2A64"/>
    <w:multiLevelType w:val="multilevel"/>
    <w:tmpl w:val="085E2A64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09745BBA"/>
    <w:multiLevelType w:val="multilevel"/>
    <w:tmpl w:val="09745BBA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8135466"/>
    <w:multiLevelType w:val="multilevel"/>
    <w:tmpl w:val="18135466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AE55E0F"/>
    <w:multiLevelType w:val="multilevel"/>
    <w:tmpl w:val="2AE55E0F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79338D"/>
    <w:multiLevelType w:val="multilevel"/>
    <w:tmpl w:val="2D79338D"/>
    <w:lvl w:ilvl="0" w:tentative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nsid w:val="2E070142"/>
    <w:multiLevelType w:val="multilevel"/>
    <w:tmpl w:val="2E070142"/>
    <w:lvl w:ilvl="0" w:tentative="0">
      <w:start w:val="1"/>
      <w:numFmt w:val="lowerLetter"/>
      <w:lvlText w:val="%1."/>
      <w:lvlJc w:val="left"/>
      <w:pPr>
        <w:ind w:left="2160" w:hanging="360"/>
      </w:pPr>
    </w:lvl>
    <w:lvl w:ilvl="1" w:tentative="0">
      <w:start w:val="1"/>
      <w:numFmt w:val="lowerLetter"/>
      <w:lvlText w:val="%2."/>
      <w:lvlJc w:val="left"/>
      <w:pPr>
        <w:ind w:left="2880" w:hanging="360"/>
      </w:pPr>
    </w:lvl>
    <w:lvl w:ilvl="2" w:tentative="0">
      <w:start w:val="1"/>
      <w:numFmt w:val="lowerRoman"/>
      <w:lvlText w:val="%3."/>
      <w:lvlJc w:val="right"/>
      <w:pPr>
        <w:ind w:left="3600" w:hanging="180"/>
      </w:pPr>
    </w:lvl>
    <w:lvl w:ilvl="3" w:tentative="0">
      <w:start w:val="1"/>
      <w:numFmt w:val="decimal"/>
      <w:lvlText w:val="%4."/>
      <w:lvlJc w:val="left"/>
      <w:pPr>
        <w:ind w:left="4320" w:hanging="360"/>
      </w:pPr>
    </w:lvl>
    <w:lvl w:ilvl="4" w:tentative="0">
      <w:start w:val="1"/>
      <w:numFmt w:val="lowerLetter"/>
      <w:lvlText w:val="%5."/>
      <w:lvlJc w:val="left"/>
      <w:pPr>
        <w:ind w:left="5040" w:hanging="360"/>
      </w:pPr>
    </w:lvl>
    <w:lvl w:ilvl="5" w:tentative="0">
      <w:start w:val="1"/>
      <w:numFmt w:val="lowerRoman"/>
      <w:lvlText w:val="%6."/>
      <w:lvlJc w:val="right"/>
      <w:pPr>
        <w:ind w:left="5760" w:hanging="180"/>
      </w:pPr>
    </w:lvl>
    <w:lvl w:ilvl="6" w:tentative="0">
      <w:start w:val="1"/>
      <w:numFmt w:val="decimal"/>
      <w:lvlText w:val="%7."/>
      <w:lvlJc w:val="left"/>
      <w:pPr>
        <w:ind w:left="6480" w:hanging="360"/>
      </w:pPr>
    </w:lvl>
    <w:lvl w:ilvl="7" w:tentative="0">
      <w:start w:val="1"/>
      <w:numFmt w:val="lowerLetter"/>
      <w:lvlText w:val="%8."/>
      <w:lvlJc w:val="left"/>
      <w:pPr>
        <w:ind w:left="7200" w:hanging="360"/>
      </w:pPr>
    </w:lvl>
    <w:lvl w:ilvl="8" w:tentative="0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3DC6249C"/>
    <w:multiLevelType w:val="multilevel"/>
    <w:tmpl w:val="3DC6249C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C77DF2"/>
    <w:multiLevelType w:val="multilevel"/>
    <w:tmpl w:val="55C77DF2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Roman"/>
      <w:lvlText w:val="%2."/>
      <w:lvlJc w:val="righ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8B79E8"/>
    <w:multiLevelType w:val="multilevel"/>
    <w:tmpl w:val="6B8B79E8"/>
    <w:lvl w:ilvl="0" w:tentative="0">
      <w:start w:val="1"/>
      <w:numFmt w:val="bullet"/>
      <w:lvlText w:val=""/>
      <w:lvlJc w:val="left"/>
      <w:pPr>
        <w:ind w:left="785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505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225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945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65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85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105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825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545" w:hanging="360"/>
      </w:pPr>
      <w:rPr>
        <w:rFonts w:hint="default" w:ascii="Wingdings" w:hAnsi="Wingdings"/>
      </w:rPr>
    </w:lvl>
  </w:abstractNum>
  <w:abstractNum w:abstractNumId="9">
    <w:nsid w:val="78260BBF"/>
    <w:multiLevelType w:val="multilevel"/>
    <w:tmpl w:val="78260BBF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7"/>
  </w:num>
  <w:num w:numId="5">
    <w:abstractNumId w:val="3"/>
  </w:num>
  <w:num w:numId="6">
    <w:abstractNumId w:val="2"/>
  </w:num>
  <w:num w:numId="7">
    <w:abstractNumId w:val="9"/>
  </w:num>
  <w:num w:numId="8">
    <w:abstractNumId w:val="1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evenAndOddHeaders w:val="1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A1MTA3sDCzNLGwMDZR0lEKTi0uzszPAykwNK8FAKp+DjMtAAAA"/>
    <w:docVar w:name="commondata" w:val="eyJoZGlkIjoiZDExODU4OTgyZTZjYjg0YzUzNzA1YzUxMmJhYmJhYWUifQ=="/>
  </w:docVars>
  <w:rsids>
    <w:rsidRoot w:val="002F29A7"/>
    <w:rsid w:val="000055D1"/>
    <w:rsid w:val="000217C4"/>
    <w:rsid w:val="00037303"/>
    <w:rsid w:val="00061D25"/>
    <w:rsid w:val="00070F9B"/>
    <w:rsid w:val="0007213B"/>
    <w:rsid w:val="0007745C"/>
    <w:rsid w:val="00086023"/>
    <w:rsid w:val="000B26D5"/>
    <w:rsid w:val="000C4945"/>
    <w:rsid w:val="000C726C"/>
    <w:rsid w:val="000D491C"/>
    <w:rsid w:val="00103999"/>
    <w:rsid w:val="0011611A"/>
    <w:rsid w:val="00116D2F"/>
    <w:rsid w:val="00122866"/>
    <w:rsid w:val="00123A3E"/>
    <w:rsid w:val="00126D3D"/>
    <w:rsid w:val="00135162"/>
    <w:rsid w:val="00160069"/>
    <w:rsid w:val="001660B7"/>
    <w:rsid w:val="001707DF"/>
    <w:rsid w:val="001711BB"/>
    <w:rsid w:val="00181C5B"/>
    <w:rsid w:val="00181D4E"/>
    <w:rsid w:val="001A1AE2"/>
    <w:rsid w:val="001B2F72"/>
    <w:rsid w:val="001C1070"/>
    <w:rsid w:val="001C2BDA"/>
    <w:rsid w:val="001E1567"/>
    <w:rsid w:val="001E3D13"/>
    <w:rsid w:val="00217D8D"/>
    <w:rsid w:val="002418F9"/>
    <w:rsid w:val="00252227"/>
    <w:rsid w:val="002637DA"/>
    <w:rsid w:val="002930E1"/>
    <w:rsid w:val="00297F90"/>
    <w:rsid w:val="002C2BE0"/>
    <w:rsid w:val="002C66F6"/>
    <w:rsid w:val="002E2883"/>
    <w:rsid w:val="002F29A7"/>
    <w:rsid w:val="003036A6"/>
    <w:rsid w:val="00310334"/>
    <w:rsid w:val="00337CFE"/>
    <w:rsid w:val="00343771"/>
    <w:rsid w:val="00346E24"/>
    <w:rsid w:val="00351A01"/>
    <w:rsid w:val="0036642C"/>
    <w:rsid w:val="003879BE"/>
    <w:rsid w:val="0039482B"/>
    <w:rsid w:val="003A2CF3"/>
    <w:rsid w:val="003C1922"/>
    <w:rsid w:val="003D47E3"/>
    <w:rsid w:val="003E3C69"/>
    <w:rsid w:val="003E5A30"/>
    <w:rsid w:val="003E73D8"/>
    <w:rsid w:val="003E7B84"/>
    <w:rsid w:val="003F323F"/>
    <w:rsid w:val="00417BA2"/>
    <w:rsid w:val="00460A37"/>
    <w:rsid w:val="004664C2"/>
    <w:rsid w:val="00467490"/>
    <w:rsid w:val="00471CDD"/>
    <w:rsid w:val="004831EC"/>
    <w:rsid w:val="00484193"/>
    <w:rsid w:val="00493A0D"/>
    <w:rsid w:val="004B1D89"/>
    <w:rsid w:val="004C4E78"/>
    <w:rsid w:val="004E220F"/>
    <w:rsid w:val="0050240F"/>
    <w:rsid w:val="00526AD3"/>
    <w:rsid w:val="0052714D"/>
    <w:rsid w:val="00533961"/>
    <w:rsid w:val="005478BB"/>
    <w:rsid w:val="0055096D"/>
    <w:rsid w:val="00564398"/>
    <w:rsid w:val="005709B4"/>
    <w:rsid w:val="00571AFD"/>
    <w:rsid w:val="00582093"/>
    <w:rsid w:val="005850A2"/>
    <w:rsid w:val="00592953"/>
    <w:rsid w:val="005B50CD"/>
    <w:rsid w:val="005B5D98"/>
    <w:rsid w:val="005B6950"/>
    <w:rsid w:val="005F4237"/>
    <w:rsid w:val="005F4481"/>
    <w:rsid w:val="005F6516"/>
    <w:rsid w:val="0060042F"/>
    <w:rsid w:val="006060A7"/>
    <w:rsid w:val="006447FF"/>
    <w:rsid w:val="006A6232"/>
    <w:rsid w:val="006A6FB3"/>
    <w:rsid w:val="006B3379"/>
    <w:rsid w:val="006D26AE"/>
    <w:rsid w:val="006E5B89"/>
    <w:rsid w:val="00700CD0"/>
    <w:rsid w:val="00714A78"/>
    <w:rsid w:val="0073462D"/>
    <w:rsid w:val="00737511"/>
    <w:rsid w:val="00743058"/>
    <w:rsid w:val="00751172"/>
    <w:rsid w:val="007646E0"/>
    <w:rsid w:val="007843DD"/>
    <w:rsid w:val="007B5A73"/>
    <w:rsid w:val="007B74DC"/>
    <w:rsid w:val="007C0358"/>
    <w:rsid w:val="007C33C1"/>
    <w:rsid w:val="007E3374"/>
    <w:rsid w:val="007E7679"/>
    <w:rsid w:val="007E7824"/>
    <w:rsid w:val="00805659"/>
    <w:rsid w:val="00820FC5"/>
    <w:rsid w:val="0083339D"/>
    <w:rsid w:val="00847416"/>
    <w:rsid w:val="00850D1A"/>
    <w:rsid w:val="00856951"/>
    <w:rsid w:val="00865FBF"/>
    <w:rsid w:val="00867B61"/>
    <w:rsid w:val="0087190C"/>
    <w:rsid w:val="008A120A"/>
    <w:rsid w:val="008C186B"/>
    <w:rsid w:val="008C6C99"/>
    <w:rsid w:val="008C7615"/>
    <w:rsid w:val="008F10EC"/>
    <w:rsid w:val="008F700E"/>
    <w:rsid w:val="009029D9"/>
    <w:rsid w:val="00912AC8"/>
    <w:rsid w:val="0092216F"/>
    <w:rsid w:val="00926BF3"/>
    <w:rsid w:val="009325E8"/>
    <w:rsid w:val="009374E5"/>
    <w:rsid w:val="00950D0B"/>
    <w:rsid w:val="00964E21"/>
    <w:rsid w:val="009673B0"/>
    <w:rsid w:val="00977F1D"/>
    <w:rsid w:val="00984E6E"/>
    <w:rsid w:val="009905B3"/>
    <w:rsid w:val="00996069"/>
    <w:rsid w:val="009E106F"/>
    <w:rsid w:val="009F79C1"/>
    <w:rsid w:val="00A11D73"/>
    <w:rsid w:val="00A15D23"/>
    <w:rsid w:val="00A31F1B"/>
    <w:rsid w:val="00A33F50"/>
    <w:rsid w:val="00A429A5"/>
    <w:rsid w:val="00A52A95"/>
    <w:rsid w:val="00A65A22"/>
    <w:rsid w:val="00A8318A"/>
    <w:rsid w:val="00AA2D0C"/>
    <w:rsid w:val="00AC707F"/>
    <w:rsid w:val="00AD0810"/>
    <w:rsid w:val="00AE20D9"/>
    <w:rsid w:val="00AE2E80"/>
    <w:rsid w:val="00AE719F"/>
    <w:rsid w:val="00B21D93"/>
    <w:rsid w:val="00B2215F"/>
    <w:rsid w:val="00B60726"/>
    <w:rsid w:val="00B65856"/>
    <w:rsid w:val="00B7092E"/>
    <w:rsid w:val="00B8397A"/>
    <w:rsid w:val="00BE1DB3"/>
    <w:rsid w:val="00BE38EC"/>
    <w:rsid w:val="00C23614"/>
    <w:rsid w:val="00C2690C"/>
    <w:rsid w:val="00C272E7"/>
    <w:rsid w:val="00C3495A"/>
    <w:rsid w:val="00C34FDE"/>
    <w:rsid w:val="00C51CF1"/>
    <w:rsid w:val="00C94B90"/>
    <w:rsid w:val="00C979C3"/>
    <w:rsid w:val="00CC46FB"/>
    <w:rsid w:val="00CE7F96"/>
    <w:rsid w:val="00CF0ECD"/>
    <w:rsid w:val="00D00C5A"/>
    <w:rsid w:val="00D06A29"/>
    <w:rsid w:val="00D06C19"/>
    <w:rsid w:val="00D24D3F"/>
    <w:rsid w:val="00D431B2"/>
    <w:rsid w:val="00D568EE"/>
    <w:rsid w:val="00D638A9"/>
    <w:rsid w:val="00D645BA"/>
    <w:rsid w:val="00D6721D"/>
    <w:rsid w:val="00D9077A"/>
    <w:rsid w:val="00DA465F"/>
    <w:rsid w:val="00DB3C5E"/>
    <w:rsid w:val="00DD3FBB"/>
    <w:rsid w:val="00DE7EB5"/>
    <w:rsid w:val="00DF34CD"/>
    <w:rsid w:val="00E10259"/>
    <w:rsid w:val="00E37079"/>
    <w:rsid w:val="00E3723D"/>
    <w:rsid w:val="00E401DA"/>
    <w:rsid w:val="00E617D7"/>
    <w:rsid w:val="00E61A3A"/>
    <w:rsid w:val="00E63BBE"/>
    <w:rsid w:val="00E672A6"/>
    <w:rsid w:val="00E733D8"/>
    <w:rsid w:val="00EC66FA"/>
    <w:rsid w:val="00EC72BC"/>
    <w:rsid w:val="00F01915"/>
    <w:rsid w:val="00F5779D"/>
    <w:rsid w:val="00F66D3D"/>
    <w:rsid w:val="00FA09BA"/>
    <w:rsid w:val="41E91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4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15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3"/>
    <w:basedOn w:val="1"/>
    <w:next w:val="1"/>
    <w:link w:val="19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2"/>
    <w:unhideWhenUsed/>
    <w:qFormat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6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1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20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3"/>
    <w:semiHidden/>
    <w:unhideWhenUsed/>
    <w:uiPriority w:val="99"/>
    <w:rPr>
      <w:b/>
      <w:bCs/>
    </w:rPr>
  </w:style>
  <w:style w:type="table" w:styleId="11">
    <w:name w:val="Table Grid"/>
    <w:basedOn w:val="10"/>
    <w:qFormat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basedOn w:val="12"/>
    <w:semiHidden/>
    <w:unhideWhenUsed/>
    <w:qFormat/>
    <w:uiPriority w:val="99"/>
    <w:rPr>
      <w:sz w:val="16"/>
      <w:szCs w:val="16"/>
    </w:rPr>
  </w:style>
  <w:style w:type="character" w:customStyle="1" w:styleId="14">
    <w:name w:val="Heading 1 Char"/>
    <w:basedOn w:val="12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5">
    <w:name w:val="Heading 2 Char"/>
    <w:basedOn w:val="12"/>
    <w:link w:val="3"/>
    <w:qFormat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16">
    <w:name w:val="Balloon Text Char"/>
    <w:basedOn w:val="12"/>
    <w:link w:val="6"/>
    <w:semiHidden/>
    <w:qFormat/>
    <w:uiPriority w:val="99"/>
    <w:rPr>
      <w:rFonts w:ascii="Segoe UI" w:hAnsi="Segoe UI" w:cs="Segoe UI"/>
      <w:sz w:val="18"/>
      <w:szCs w:val="18"/>
      <w:lang w:val="en-AU"/>
    </w:rPr>
  </w:style>
  <w:style w:type="paragraph" w:styleId="17">
    <w:name w:val="List Paragraph"/>
    <w:basedOn w:val="1"/>
    <w:link w:val="18"/>
    <w:qFormat/>
    <w:uiPriority w:val="34"/>
    <w:pPr>
      <w:ind w:left="720"/>
      <w:contextualSpacing/>
    </w:pPr>
  </w:style>
  <w:style w:type="character" w:customStyle="1" w:styleId="18">
    <w:name w:val="List Paragraph Char"/>
    <w:basedOn w:val="12"/>
    <w:link w:val="17"/>
    <w:qFormat/>
    <w:uiPriority w:val="34"/>
    <w:rPr>
      <w:lang w:val="en-AU"/>
    </w:rPr>
  </w:style>
  <w:style w:type="character" w:customStyle="1" w:styleId="19">
    <w:name w:val="Heading 3 Char"/>
    <w:basedOn w:val="12"/>
    <w:link w:val="4"/>
    <w:qFormat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  <w:lang w:val="en-AU"/>
    </w:rPr>
  </w:style>
  <w:style w:type="character" w:customStyle="1" w:styleId="20">
    <w:name w:val="Header Char"/>
    <w:basedOn w:val="12"/>
    <w:link w:val="8"/>
    <w:uiPriority w:val="99"/>
    <w:rPr>
      <w:lang w:val="en-AU"/>
    </w:rPr>
  </w:style>
  <w:style w:type="character" w:customStyle="1" w:styleId="21">
    <w:name w:val="Footer Char"/>
    <w:basedOn w:val="12"/>
    <w:link w:val="7"/>
    <w:uiPriority w:val="99"/>
    <w:rPr>
      <w:lang w:val="en-AU"/>
    </w:rPr>
  </w:style>
  <w:style w:type="character" w:customStyle="1" w:styleId="22">
    <w:name w:val="Comment Text Char"/>
    <w:basedOn w:val="12"/>
    <w:link w:val="5"/>
    <w:qFormat/>
    <w:uiPriority w:val="99"/>
    <w:rPr>
      <w:sz w:val="20"/>
      <w:szCs w:val="20"/>
      <w:lang w:val="en-AU"/>
    </w:rPr>
  </w:style>
  <w:style w:type="character" w:customStyle="1" w:styleId="23">
    <w:name w:val="Comment Subject Char"/>
    <w:basedOn w:val="22"/>
    <w:link w:val="9"/>
    <w:semiHidden/>
    <w:uiPriority w:val="99"/>
    <w:rPr>
      <w:b/>
      <w:bCs/>
      <w:sz w:val="20"/>
      <w:szCs w:val="20"/>
      <w:lang w:val="en-AU"/>
    </w:rPr>
  </w:style>
  <w:style w:type="character" w:styleId="24">
    <w:name w:val="Placeholder Text"/>
    <w:basedOn w:val="12"/>
    <w:semiHidden/>
    <w:uiPriority w:val="99"/>
    <w:rPr>
      <w:color w:val="80808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glossaryDocument" Target="glossary/document.xml"/><Relationship Id="rId13" Type="http://schemas.openxmlformats.org/officeDocument/2006/relationships/fontTable" Target="fontTable.xml"/><Relationship Id="rId12" Type="http://schemas.openxmlformats.org/officeDocument/2006/relationships/customXml" Target="../customXml/item3.xml"/><Relationship Id="rId11" Type="http://schemas.openxmlformats.org/officeDocument/2006/relationships/customXml" Target="../customXml/item2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3215D22D445847688E81615A0653AF0D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2E0E8D9-1E0E-4AE4-BBA4-0AFA0DB35328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56C2BDEADB8149098F816728ED92AE9E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271E38A-3B13-4650-BE5A-0E8ACDBEC999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A9D"/>
    <w:rsid w:val="003818DA"/>
    <w:rsid w:val="00835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1" w:name="Default Paragraph Font"/>
    <w:lsdException w:uiPriority="99" w:name="Normal Table"/>
    <w:lsdException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uiPriority w:val="99"/>
    <w:rPr>
      <w:color w:val="808080"/>
    </w:rPr>
  </w:style>
  <w:style w:type="paragraph" w:customStyle="1" w:styleId="5">
    <w:name w:val="3215D22D445847688E81615A0653AF0D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56C2BDEADB8149098F816728ED92AE9E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1E5EEB3-DBAE-4E84-9BC1-9822D1929CC1}">
  <ds:schemaRefs/>
</ds:datastoreItem>
</file>

<file path=customXml/itemProps2.xml><?xml version="1.0" encoding="utf-8"?>
<ds:datastoreItem xmlns:ds="http://schemas.openxmlformats.org/officeDocument/2006/customXml" ds:itemID="{68184E21-57A0-4A89-B4C4-0DE0729C0BBB}">
  <ds:schemaRefs/>
</ds:datastoreItem>
</file>

<file path=customXml/itemProps3.xml><?xml version="1.0" encoding="utf-8"?>
<ds:datastoreItem xmlns:ds="http://schemas.openxmlformats.org/officeDocument/2006/customXml" ds:itemID="{DF2250AB-2EE7-43D5-A1F4-D5F546743DF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4</Pages>
  <Words>742</Words>
  <Characters>4271</Characters>
  <Lines>38</Lines>
  <Paragraphs>10</Paragraphs>
  <TotalTime>1</TotalTime>
  <ScaleCrop>false</ScaleCrop>
  <LinksUpToDate>false</LinksUpToDate>
  <CharactersWithSpaces>4915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2022-12-05T01:14:00Z</dcterms:created>
  <dc:creator>TotalVET Training Resources</dc:creator>
  <cp:lastModifiedBy>Administrator</cp:lastModifiedBy>
  <dcterms:modified xsi:type="dcterms:W3CDTF">2023-04-12T03:26:28Z</dcterms:modified>
  <dc:subject>Manage work health and safety in the building and construction workplace</dc:subject>
  <dc:title>CPCCBC4002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KSOProductBuildVer">
    <vt:lpwstr>2052-11.1.0.13703</vt:lpwstr>
  </property>
  <property fmtid="{D5CDD505-2E9C-101B-9397-08002B2CF9AE}" pid="10" name="ICV">
    <vt:lpwstr>D1BC7C63158B4932BE6D08EDCB9E635B</vt:lpwstr>
  </property>
</Properties>
</file>