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A2998" w14:textId="1D06BC34" w:rsidR="00AA0F01" w:rsidRPr="00AA0F01" w:rsidRDefault="00E84316" w:rsidP="00E4164B">
      <w:pPr>
        <w:keepNext/>
        <w:keepLines/>
        <w:spacing w:before="120"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</w:pPr>
      <w:r w:rsidRPr="00E84316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>Documentation of design and construction (suitability or evidence of suitability)</w:t>
      </w:r>
    </w:p>
    <w:tbl>
      <w:tblPr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7"/>
        <w:gridCol w:w="4296"/>
        <w:gridCol w:w="1232"/>
        <w:gridCol w:w="5812"/>
      </w:tblGrid>
      <w:tr w:rsidR="00AA0F01" w:rsidRPr="00AA0F01" w14:paraId="38BA5658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DCA6610" w14:textId="353C2802" w:rsidR="00AA0F01" w:rsidRPr="00491043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D73E5E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11214C" w:rsidRPr="0011214C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Multi-Residential Apartment Building</w:t>
            </w:r>
          </w:p>
        </w:tc>
      </w:tr>
      <w:tr w:rsidR="002966A6" w:rsidRPr="00AA0F01" w14:paraId="434C5A20" w14:textId="77777777" w:rsidTr="00E4164B">
        <w:trPr>
          <w:trHeight w:val="288"/>
        </w:trPr>
        <w:tc>
          <w:tcPr>
            <w:tcW w:w="7043" w:type="dxa"/>
            <w:gridSpan w:val="2"/>
            <w:shd w:val="clear" w:color="auto" w:fill="FFFFFF"/>
            <w:vAlign w:val="center"/>
          </w:tcPr>
          <w:p w14:paraId="15F78738" w14:textId="42EB52AF" w:rsidR="002966A6" w:rsidRPr="00491043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address: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B14CF1" w:rsidRPr="00B14CF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12 Example Street, Brisbane, QLD</w:t>
            </w:r>
          </w:p>
        </w:tc>
        <w:tc>
          <w:tcPr>
            <w:tcW w:w="7044" w:type="dxa"/>
            <w:gridSpan w:val="2"/>
            <w:shd w:val="clear" w:color="auto" w:fill="FFFFFF"/>
            <w:vAlign w:val="center"/>
          </w:tcPr>
          <w:p w14:paraId="7CB4E89A" w14:textId="3D8CF71C" w:rsidR="002966A6" w:rsidRPr="00491043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Plan attached: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B14CF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</w:t>
            </w:r>
          </w:p>
        </w:tc>
      </w:tr>
      <w:tr w:rsidR="00AA0F01" w:rsidRPr="008045D9" w14:paraId="15F0CB51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F8F4256" w14:textId="3A22F78D" w:rsidR="008045D9" w:rsidRPr="00491043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sz w:val="20"/>
                <w:szCs w:val="20"/>
              </w:rPr>
            </w:pPr>
            <w:r w:rsidRPr="008045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FA2BE9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B14CF1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Abbie Heaslip</w:t>
            </w:r>
          </w:p>
        </w:tc>
      </w:tr>
      <w:tr w:rsidR="00AA0F01" w:rsidRPr="00AA0F01" w14:paraId="16ED7BD8" w14:textId="77777777" w:rsidTr="00E4164B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1B48F62" w14:textId="5BAD6CB6" w:rsidR="00AA0F01" w:rsidRPr="00491043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D73E5E" w:rsidRPr="002D412E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B14CF1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8/7/25</w:t>
            </w:r>
          </w:p>
        </w:tc>
      </w:tr>
      <w:tr w:rsidR="00FA6297" w:rsidRPr="00AA0F01" w14:paraId="324A4BF7" w14:textId="77777777" w:rsidTr="00E4164B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004F8435" w14:textId="77777777" w:rsidR="00FA6297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project:</w:t>
            </w:r>
          </w:p>
          <w:p w14:paraId="1531CB20" w14:textId="31B69525" w:rsidR="00FA6297" w:rsidRPr="00491043" w:rsidRDefault="00947FDF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47FDF">
              <w:rPr>
                <w:rFonts w:ascii="Arial" w:eastAsia="Times New Roman" w:hAnsi="Arial" w:cs="Arial"/>
                <w:bCs/>
                <w:sz w:val="20"/>
                <w:szCs w:val="20"/>
              </w:rPr>
              <w:t>This project is a multi-storey apartment building with 6 sole-occupancy units (Class 2), two units per storey. Reinforced concrete floors, walls, and columns are required for structural stability and fire separation. The building is located in Climate Zone 2 and must comply with energy efficiency, accessibility, and fire safety requirements as outlined in the NCC.</w:t>
            </w:r>
          </w:p>
        </w:tc>
      </w:tr>
      <w:tr w:rsidR="00C633D3" w:rsidRPr="00AA0F01" w14:paraId="7138B58E" w14:textId="77777777" w:rsidTr="00E4164B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61B2A580" w14:textId="77777777" w:rsidR="00C633D3" w:rsidRDefault="00C633D3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  <w:r w:rsid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</w:t>
            </w:r>
            <w:r w:rsidR="004910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</w:p>
          <w:p w14:paraId="6F56D510" w14:textId="0AEDA0EF" w:rsidR="00491043" w:rsidRPr="00491043" w:rsidRDefault="00690F1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90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 (Moderately Reactive Clay) as per AS 2870.</w:t>
            </w:r>
          </w:p>
        </w:tc>
      </w:tr>
      <w:tr w:rsidR="00AA0F01" w:rsidRPr="00AA0F01" w14:paraId="46465F79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FB4CDC2" w14:textId="405A3502" w:rsidR="00FA2BE9" w:rsidRPr="008045D9" w:rsidRDefault="00086D6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86D65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Documentation of design and construction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(suitability or evidence of suitability)</w:t>
            </w:r>
          </w:p>
        </w:tc>
      </w:tr>
      <w:tr w:rsidR="00A13A49" w:rsidRPr="00AA0F01" w14:paraId="0B98E54B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C27896" w14:textId="33A85A1B" w:rsidR="00A13A49" w:rsidRPr="00086D65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A13A49" w:rsidRPr="00AA0F01" w14:paraId="107669B3" w14:textId="77777777" w:rsidTr="00E4164B">
        <w:trPr>
          <w:trHeight w:val="440"/>
        </w:trPr>
        <w:tc>
          <w:tcPr>
            <w:tcW w:w="2747" w:type="dxa"/>
            <w:shd w:val="clear" w:color="auto" w:fill="D9D9D9" w:themeFill="background1" w:themeFillShade="D9"/>
          </w:tcPr>
          <w:p w14:paraId="49901A95" w14:textId="3CC66F4A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8589182" w14:textId="2AE2F7ED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8D2F7BA" w14:textId="5BD9A654" w:rsidR="00A13A49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3D0848D0" w14:textId="77777777" w:rsidTr="00E4164B">
        <w:trPr>
          <w:trHeight w:val="2154"/>
        </w:trPr>
        <w:tc>
          <w:tcPr>
            <w:tcW w:w="2747" w:type="dxa"/>
            <w:shd w:val="clear" w:color="auto" w:fill="auto"/>
          </w:tcPr>
          <w:p w14:paraId="734A72AB" w14:textId="051F9DE8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Earthworks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B7E9C98" w14:textId="79DAA3BE" w:rsidR="00A13A49" w:rsidRPr="00491043" w:rsidRDefault="00690F17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90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Earthworks must stabilize the site and prevent soil erosion (AS 3798).</w:t>
            </w:r>
          </w:p>
        </w:tc>
        <w:tc>
          <w:tcPr>
            <w:tcW w:w="5812" w:type="dxa"/>
            <w:shd w:val="clear" w:color="auto" w:fill="auto"/>
          </w:tcPr>
          <w:p w14:paraId="3D6DEC1F" w14:textId="04E2720C" w:rsidR="00A13A49" w:rsidRPr="00491043" w:rsidRDefault="00690F17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90F1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Earthworks were conducted to ensure stable foundations for construction.</w:t>
            </w:r>
          </w:p>
        </w:tc>
      </w:tr>
      <w:tr w:rsidR="003707F3" w:rsidRPr="00AA0F01" w14:paraId="2D8D2107" w14:textId="77777777" w:rsidTr="00E4164B">
        <w:trPr>
          <w:trHeight w:val="45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566385D" w14:textId="231B98C3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3707F3" w:rsidRPr="00AA0F01" w14:paraId="3AB89781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663705AA" w14:textId="3F2F208B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7E14317" w14:textId="7275C620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7D7BE9E" w14:textId="050DC4F3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4B43DA6E" w14:textId="77777777" w:rsidTr="00E4164B">
        <w:trPr>
          <w:trHeight w:val="1814"/>
        </w:trPr>
        <w:tc>
          <w:tcPr>
            <w:tcW w:w="2747" w:type="dxa"/>
            <w:shd w:val="clear" w:color="auto" w:fill="auto"/>
          </w:tcPr>
          <w:p w14:paraId="30D38AEB" w14:textId="3B572254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 retaining structures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E8539F4" w14:textId="40F21347" w:rsidR="00A13A49" w:rsidRPr="00491043" w:rsidRDefault="00DE0BB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E0BB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Retaining walls must resist lateral soil forces and manage hydrostatic pressure (AS 4678).</w:t>
            </w:r>
          </w:p>
        </w:tc>
        <w:tc>
          <w:tcPr>
            <w:tcW w:w="5812" w:type="dxa"/>
            <w:shd w:val="clear" w:color="auto" w:fill="auto"/>
          </w:tcPr>
          <w:p w14:paraId="180D24A7" w14:textId="70A8FE8E" w:rsidR="00A13A49" w:rsidRPr="00491043" w:rsidRDefault="00DE0BB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E0BB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Reinforced concrete retaining walls were designed with drainage systems to reduce hydrostatic pressure.</w:t>
            </w:r>
          </w:p>
        </w:tc>
      </w:tr>
      <w:tr w:rsidR="00A13A49" w:rsidRPr="00AA0F01" w14:paraId="5C8B504E" w14:textId="77777777" w:rsidTr="00E4164B">
        <w:trPr>
          <w:trHeight w:val="1814"/>
        </w:trPr>
        <w:tc>
          <w:tcPr>
            <w:tcW w:w="2747" w:type="dxa"/>
            <w:shd w:val="clear" w:color="auto" w:fill="auto"/>
          </w:tcPr>
          <w:p w14:paraId="17E384EB" w14:textId="7E69D12F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Drainage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E6EEF42" w14:textId="391BBC32" w:rsidR="00A13A49" w:rsidRPr="00491043" w:rsidRDefault="00DE0BB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E0BB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Drainage systems must prevent water ingress into habitable areas (NCC Volume 1, Part F1).</w:t>
            </w:r>
          </w:p>
        </w:tc>
        <w:tc>
          <w:tcPr>
            <w:tcW w:w="5812" w:type="dxa"/>
            <w:shd w:val="clear" w:color="auto" w:fill="auto"/>
          </w:tcPr>
          <w:p w14:paraId="50DD802E" w14:textId="162538A0" w:rsidR="00A13A49" w:rsidRPr="00491043" w:rsidRDefault="00DE0BB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E0BB4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Surface drains and stormwater management systems were installed to prevent water pooling.</w:t>
            </w:r>
          </w:p>
        </w:tc>
      </w:tr>
      <w:tr w:rsidR="002966A6" w:rsidRPr="00AA0F01" w14:paraId="39EC2E21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2023E08" w14:textId="2427B974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46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B1261E5" w14:textId="643AF9A9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B424F61" w14:textId="2828EDED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189D8E4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55702E3B" w14:textId="715A83F9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Termite risk management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BAA8146" w14:textId="4A4AE544" w:rsidR="00A13A49" w:rsidRPr="00491043" w:rsidRDefault="00C73AD7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C73AD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Termite barriers are required for Class 2 buildings (AS 3660.1).</w:t>
            </w:r>
          </w:p>
        </w:tc>
        <w:tc>
          <w:tcPr>
            <w:tcW w:w="5812" w:type="dxa"/>
            <w:shd w:val="clear" w:color="auto" w:fill="auto"/>
          </w:tcPr>
          <w:p w14:paraId="672E2D39" w14:textId="443EA290" w:rsidR="00A13A49" w:rsidRPr="00491043" w:rsidRDefault="00C73AD7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C73AD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Physical termite barriers were installed beneath slabs and around service penetrations to prevent infestations.</w:t>
            </w:r>
          </w:p>
        </w:tc>
      </w:tr>
      <w:tr w:rsidR="00A13A49" w:rsidRPr="00AA0F01" w14:paraId="6AF51C9A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077AE473" w14:textId="2902CA9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09AB672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A55DC67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6EF066F8" w14:textId="77777777" w:rsidTr="00E4164B">
        <w:trPr>
          <w:trHeight w:val="41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F490277" w14:textId="6699C891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</w:tr>
      <w:tr w:rsidR="00A13A49" w:rsidRPr="00AA0F01" w14:paraId="20C55D1C" w14:textId="77777777" w:rsidTr="00E4164B">
        <w:trPr>
          <w:trHeight w:val="411"/>
        </w:trPr>
        <w:tc>
          <w:tcPr>
            <w:tcW w:w="14087" w:type="dxa"/>
            <w:gridSpan w:val="4"/>
            <w:shd w:val="clear" w:color="auto" w:fill="auto"/>
          </w:tcPr>
          <w:p w14:paraId="2954441A" w14:textId="63082FC7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</w:p>
        </w:tc>
      </w:tr>
      <w:tr w:rsidR="00A13A49" w:rsidRPr="00AA0F01" w14:paraId="3D869B6D" w14:textId="77777777" w:rsidTr="00E4164B">
        <w:trPr>
          <w:trHeight w:val="411"/>
        </w:trPr>
        <w:tc>
          <w:tcPr>
            <w:tcW w:w="2747" w:type="dxa"/>
            <w:shd w:val="clear" w:color="auto" w:fill="D9D9D9" w:themeFill="background1" w:themeFillShade="D9"/>
          </w:tcPr>
          <w:p w14:paraId="09872068" w14:textId="2814060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FF2E297" w14:textId="6CA0CFC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3EB8629" w14:textId="79527719" w:rsidR="00A13A49" w:rsidRDefault="002966A6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EAF10B0" w14:textId="77777777" w:rsidTr="00E4164B">
        <w:trPr>
          <w:trHeight w:val="2778"/>
        </w:trPr>
        <w:tc>
          <w:tcPr>
            <w:tcW w:w="2747" w:type="dxa"/>
            <w:shd w:val="clear" w:color="auto" w:fill="auto"/>
          </w:tcPr>
          <w:p w14:paraId="07C3008A" w14:textId="200AB923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EF86AF9" w14:textId="57C2211C" w:rsidR="00A13A49" w:rsidRPr="00491043" w:rsidRDefault="007C4CA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C4CA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Footings and slabs must be designed to resist soil movement (AS 2870).</w:t>
            </w:r>
          </w:p>
        </w:tc>
        <w:tc>
          <w:tcPr>
            <w:tcW w:w="5812" w:type="dxa"/>
            <w:shd w:val="clear" w:color="auto" w:fill="auto"/>
          </w:tcPr>
          <w:p w14:paraId="7B2CBF2D" w14:textId="77992BDD" w:rsidR="00A13A49" w:rsidRPr="00491043" w:rsidRDefault="007C4CA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C4CA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Reinforced concrete slab-on-ground was designed for Class M soil reactivity and includes proper reinforcement.</w:t>
            </w:r>
          </w:p>
        </w:tc>
      </w:tr>
      <w:tr w:rsidR="002966A6" w:rsidRPr="00AA0F01" w14:paraId="0A5AACF5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574C41A5" w14:textId="5A1422B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37F32CE" w14:textId="51856EBF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1CCD6D6" w14:textId="06F6772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1A298E46" w14:textId="77777777" w:rsidTr="00E4164B">
        <w:trPr>
          <w:trHeight w:val="2324"/>
        </w:trPr>
        <w:tc>
          <w:tcPr>
            <w:tcW w:w="2747" w:type="dxa"/>
            <w:shd w:val="clear" w:color="auto" w:fill="auto"/>
          </w:tcPr>
          <w:p w14:paraId="15EB399E" w14:textId="1E76943E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C0E12E0" w14:textId="62965005" w:rsidR="003707F3" w:rsidRPr="00491043" w:rsidRDefault="007C4CA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C4CA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Moisture barriers are required to prevent dampness (AS 2870).</w:t>
            </w:r>
          </w:p>
        </w:tc>
        <w:tc>
          <w:tcPr>
            <w:tcW w:w="5812" w:type="dxa"/>
            <w:shd w:val="clear" w:color="auto" w:fill="auto"/>
          </w:tcPr>
          <w:p w14:paraId="42F70938" w14:textId="6F5DD44A" w:rsidR="003707F3" w:rsidRPr="00491043" w:rsidRDefault="007C4CA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C4CA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 polyethylene membrane was installed beneath slabs to protect against rising moisture.</w:t>
            </w:r>
          </w:p>
        </w:tc>
      </w:tr>
      <w:tr w:rsidR="00C633D3" w:rsidRPr="00AA0F01" w14:paraId="7B954AF4" w14:textId="77777777" w:rsidTr="00E4164B">
        <w:trPr>
          <w:trHeight w:val="1474"/>
        </w:trPr>
        <w:tc>
          <w:tcPr>
            <w:tcW w:w="2747" w:type="dxa"/>
            <w:shd w:val="clear" w:color="auto" w:fill="auto"/>
          </w:tcPr>
          <w:p w14:paraId="07DBFAC3" w14:textId="03E60348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D2FC00B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BE7181F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71220930" w14:textId="77777777" w:rsidTr="00E4164B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57413A3" w14:textId="3355593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</w:tr>
      <w:tr w:rsidR="00C633D3" w:rsidRPr="00AA0F01" w14:paraId="67B16ABD" w14:textId="77777777" w:rsidTr="00E4164B">
        <w:trPr>
          <w:trHeight w:val="680"/>
        </w:trPr>
        <w:tc>
          <w:tcPr>
            <w:tcW w:w="2747" w:type="dxa"/>
            <w:shd w:val="clear" w:color="auto" w:fill="D9D9D9" w:themeFill="background1" w:themeFillShade="D9"/>
          </w:tcPr>
          <w:p w14:paraId="215779E2" w14:textId="468F0D5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3EB9484" w14:textId="55BB3DA2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FAD5561" w14:textId="5F53926B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73F7CD02" w14:textId="77777777" w:rsidTr="00E4164B">
        <w:trPr>
          <w:trHeight w:val="1701"/>
        </w:trPr>
        <w:tc>
          <w:tcPr>
            <w:tcW w:w="2747" w:type="dxa"/>
            <w:shd w:val="clear" w:color="auto" w:fill="auto"/>
          </w:tcPr>
          <w:p w14:paraId="291EA02A" w14:textId="6C91F880" w:rsidR="002966A6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6F339C9" w14:textId="67D99E3C" w:rsidR="002966A6" w:rsidRPr="00491043" w:rsidRDefault="007C4CA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C4CA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Concrete and reinforcement must meet structural and durability requirements (AS 3600).</w:t>
            </w:r>
          </w:p>
        </w:tc>
        <w:tc>
          <w:tcPr>
            <w:tcW w:w="5812" w:type="dxa"/>
            <w:shd w:val="clear" w:color="auto" w:fill="auto"/>
          </w:tcPr>
          <w:p w14:paraId="0BFC9549" w14:textId="5B99045F" w:rsidR="002966A6" w:rsidRPr="00491043" w:rsidRDefault="007C4CAF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C4CA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Concrete mix was designed for durability, with adequate cover to reinforcement for fire resistance.</w:t>
            </w:r>
          </w:p>
        </w:tc>
      </w:tr>
      <w:tr w:rsidR="00C633D3" w:rsidRPr="00AA0F01" w14:paraId="0454B753" w14:textId="77777777" w:rsidTr="00E4164B">
        <w:trPr>
          <w:trHeight w:val="1474"/>
        </w:trPr>
        <w:tc>
          <w:tcPr>
            <w:tcW w:w="2747" w:type="dxa"/>
            <w:shd w:val="clear" w:color="auto" w:fill="auto"/>
          </w:tcPr>
          <w:p w14:paraId="15E305E0" w14:textId="0BFAAE05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1651866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E65D978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D41AC07" w14:textId="77777777" w:rsidTr="00E4164B">
        <w:trPr>
          <w:trHeight w:val="40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532F00E1" w14:textId="0EEF78C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Masonry</w:t>
            </w:r>
          </w:p>
        </w:tc>
      </w:tr>
      <w:tr w:rsidR="00C633D3" w:rsidRPr="00AA0F01" w14:paraId="5657FF6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CA9A972" w14:textId="26C6312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D63F94" w14:textId="6E52BE6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D51CDFB" w14:textId="4B921A3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5EE8C83B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9874C3F" w14:textId="77270815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684B739" w14:textId="3569DAC6" w:rsidR="002966A6" w:rsidRPr="00491043" w:rsidRDefault="007C4CAF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C4CAF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Masonry walls must meet structural and fire resistance requirements (AS 3700).</w:t>
            </w:r>
          </w:p>
        </w:tc>
        <w:tc>
          <w:tcPr>
            <w:tcW w:w="5812" w:type="dxa"/>
            <w:shd w:val="clear" w:color="auto" w:fill="auto"/>
          </w:tcPr>
          <w:p w14:paraId="4C75D13C" w14:textId="03DD1050" w:rsidR="002966A6" w:rsidRPr="00491043" w:rsidRDefault="0048353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48353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Fire-rated masonry was used for internal walls, achieving FRLs of 60/60/60 and 90/90/90.</w:t>
            </w:r>
          </w:p>
        </w:tc>
      </w:tr>
      <w:tr w:rsidR="003707F3" w:rsidRPr="00AA0F01" w14:paraId="0C861FF0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1F227714" w14:textId="7F480119" w:rsidR="003707F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83EF6BD" w14:textId="77777777" w:rsidR="003707F3" w:rsidRPr="0049104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28C542C" w14:textId="77777777" w:rsidR="003707F3" w:rsidRPr="0049104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0220C8A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5B1E5EE" w14:textId="22E18247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4CEB467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8EB9E31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06D426C" w14:textId="77777777" w:rsidTr="00E4164B">
        <w:trPr>
          <w:trHeight w:val="38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4F11DE" w14:textId="27D00B1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</w:tr>
      <w:tr w:rsidR="00C633D3" w:rsidRPr="00AA0F01" w14:paraId="7776B898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3A182D6E" w14:textId="0D32BB6D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4C93B312" w14:textId="340A0E28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94998C6" w14:textId="39DC6E71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438B3B8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7494D107" w14:textId="5A89E348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23E1D9" w14:textId="171DBCEF" w:rsidR="002966A6" w:rsidRPr="00491043" w:rsidRDefault="0048353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48353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Framing must achieve structural adequacy (AS 1684).</w:t>
            </w:r>
          </w:p>
        </w:tc>
        <w:tc>
          <w:tcPr>
            <w:tcW w:w="5812" w:type="dxa"/>
            <w:shd w:val="clear" w:color="auto" w:fill="auto"/>
          </w:tcPr>
          <w:p w14:paraId="579BEF50" w14:textId="02DED65C" w:rsidR="002966A6" w:rsidRPr="00491043" w:rsidRDefault="0048353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48353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Reinforced concrete columns and beams were installed to meet NCC structural requirements and FRLs.</w:t>
            </w:r>
          </w:p>
        </w:tc>
      </w:tr>
      <w:tr w:rsidR="00C633D3" w:rsidRPr="00AA0F01" w14:paraId="1E2FED82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44FB28C2" w14:textId="34EA842E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25780AD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21F063C3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050C160" w14:textId="77777777" w:rsidTr="00E4164B">
        <w:trPr>
          <w:trHeight w:val="51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60629090" w14:textId="08260C2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Roof and Wall Cladding</w:t>
            </w:r>
          </w:p>
        </w:tc>
      </w:tr>
      <w:tr w:rsidR="00C633D3" w:rsidRPr="00AA0F01" w14:paraId="26ABDCF7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094A92A" w14:textId="4E781177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22A732C" w14:textId="4A941BF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1911A54" w14:textId="5D95BA8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EC87175" w14:textId="77777777" w:rsidTr="00E4164B">
        <w:trPr>
          <w:trHeight w:val="3685"/>
        </w:trPr>
        <w:tc>
          <w:tcPr>
            <w:tcW w:w="2747" w:type="dxa"/>
            <w:shd w:val="clear" w:color="auto" w:fill="auto"/>
          </w:tcPr>
          <w:p w14:paraId="47AB532C" w14:textId="0ED21161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2A288A5" w14:textId="1E15DBA3" w:rsidR="002966A6" w:rsidRPr="00491043" w:rsidRDefault="0048353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48353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Cladding must be weatherproof and non-combustible (NCC Volume 1, Part F1).</w:t>
            </w:r>
          </w:p>
        </w:tc>
        <w:tc>
          <w:tcPr>
            <w:tcW w:w="5812" w:type="dxa"/>
            <w:shd w:val="clear" w:color="auto" w:fill="auto"/>
          </w:tcPr>
          <w:p w14:paraId="0060DB44" w14:textId="43A8ECB8" w:rsidR="002966A6" w:rsidRPr="00491043" w:rsidRDefault="00ED4530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D45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External cladding used was non-combustible and compliant with fire safety regulations.</w:t>
            </w:r>
          </w:p>
        </w:tc>
      </w:tr>
      <w:tr w:rsidR="00C633D3" w:rsidRPr="00AA0F01" w14:paraId="288EA138" w14:textId="77777777" w:rsidTr="00E4164B">
        <w:trPr>
          <w:trHeight w:val="3685"/>
        </w:trPr>
        <w:tc>
          <w:tcPr>
            <w:tcW w:w="2747" w:type="dxa"/>
            <w:shd w:val="clear" w:color="auto" w:fill="auto"/>
          </w:tcPr>
          <w:p w14:paraId="31362665" w14:textId="5417328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56BCAD6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3511490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DFC2A4A" w14:textId="77777777" w:rsidTr="00E4164B">
        <w:trPr>
          <w:trHeight w:val="56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0DA33A6" w14:textId="514BC2B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Glazing</w:t>
            </w:r>
          </w:p>
        </w:tc>
      </w:tr>
      <w:tr w:rsidR="00C633D3" w:rsidRPr="00AA0F01" w14:paraId="1971CC98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6C47822" w14:textId="1B9BB6A1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A41AD7B" w14:textId="6E03AFCA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4A92EB5" w14:textId="3DF562CD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2B8D0DD4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749E62CF" w14:textId="3FD9253A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B4191B0" w14:textId="0F68C372" w:rsidR="00DF7E8E" w:rsidRPr="00491043" w:rsidRDefault="00ED4530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D45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Glazing must meet energy efficiency and safety requirements (AS 1288 and AS 2047).</w:t>
            </w:r>
          </w:p>
        </w:tc>
        <w:tc>
          <w:tcPr>
            <w:tcW w:w="5812" w:type="dxa"/>
            <w:shd w:val="clear" w:color="auto" w:fill="auto"/>
          </w:tcPr>
          <w:p w14:paraId="1D7EFBC2" w14:textId="5F7BD30A" w:rsidR="00DF7E8E" w:rsidRPr="00491043" w:rsidRDefault="00ED4530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D45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Double-glazed windows were installed for energy compliance, and safety glazing was used for balcony doors.</w:t>
            </w:r>
          </w:p>
        </w:tc>
      </w:tr>
      <w:tr w:rsidR="00A13A49" w:rsidRPr="00AA0F01" w14:paraId="5367880A" w14:textId="77777777" w:rsidTr="00E4164B">
        <w:trPr>
          <w:trHeight w:val="3798"/>
        </w:trPr>
        <w:tc>
          <w:tcPr>
            <w:tcW w:w="2747" w:type="dxa"/>
            <w:shd w:val="clear" w:color="auto" w:fill="auto"/>
          </w:tcPr>
          <w:p w14:paraId="66D99F16" w14:textId="5BD348C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5B90FF2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7A5818A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520B04A6" w14:textId="77777777" w:rsidTr="00E4164B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8236CA1" w14:textId="5E8C43F0" w:rsidR="00A13A49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Fire Safety</w:t>
            </w:r>
          </w:p>
        </w:tc>
      </w:tr>
      <w:tr w:rsidR="00C633D3" w:rsidRPr="00AA0F01" w14:paraId="4849AFA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BBE3BEF" w14:textId="6D6501AF" w:rsidR="00C633D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C0DFB52" w14:textId="0A423725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F6F34CE" w14:textId="4FB135B5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35B3C75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C0DB730" w14:textId="1335C9AE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5398514" w14:textId="584DD7CD" w:rsidR="00DF7E8E" w:rsidRPr="00491043" w:rsidRDefault="00ED4530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D45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Fire resistance levels (FRLs) must meet NCC Part C1.</w:t>
            </w:r>
          </w:p>
        </w:tc>
        <w:tc>
          <w:tcPr>
            <w:tcW w:w="5812" w:type="dxa"/>
            <w:shd w:val="clear" w:color="auto" w:fill="auto"/>
          </w:tcPr>
          <w:p w14:paraId="2AB32589" w14:textId="48732579" w:rsidR="00DF7E8E" w:rsidRPr="00491043" w:rsidRDefault="00ED4530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D45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Fire-rated walls, doors, and floors were installed with FRLs of 90/90/90 and 60/60/60 where required.</w:t>
            </w:r>
          </w:p>
        </w:tc>
      </w:tr>
      <w:tr w:rsidR="00A13A49" w:rsidRPr="00AA0F01" w14:paraId="738BAB4A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4DE3A9CD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1F5F00B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306B647" w14:textId="77777777" w:rsidR="00A13A49" w:rsidRPr="00491043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54D1355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7BCEB3B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7598E21D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5276EC5" w14:textId="77777777" w:rsidR="00C633D3" w:rsidRPr="0049104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24B2AE8C" w14:textId="77777777" w:rsidTr="00E4164B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4A1F0FEC" w14:textId="204551D1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Access/Stairs/Lifts/Ramps</w:t>
            </w:r>
          </w:p>
        </w:tc>
      </w:tr>
      <w:tr w:rsidR="003707F3" w:rsidRPr="00AA0F01" w14:paraId="3C050C02" w14:textId="77777777" w:rsidTr="00E4164B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5DEF438" w14:textId="488D9F68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54BED80" w14:textId="33C277D1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CE3035E" w14:textId="24C64B09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4A8C2FF4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144BA94C" w14:textId="77413915" w:rsidR="003707F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5AA8B4C" w14:textId="39541B4D" w:rsidR="003707F3" w:rsidRPr="00491043" w:rsidRDefault="00ED453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ED45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Access must meet AS 1428.1 for accessibility.</w:t>
            </w:r>
          </w:p>
        </w:tc>
        <w:tc>
          <w:tcPr>
            <w:tcW w:w="5812" w:type="dxa"/>
            <w:shd w:val="clear" w:color="auto" w:fill="auto"/>
          </w:tcPr>
          <w:p w14:paraId="6AAEAF69" w14:textId="1DD8340D" w:rsidR="003707F3" w:rsidRPr="00491043" w:rsidRDefault="000B740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B740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Continuous accessible paths and lifts were provided for all levels.</w:t>
            </w:r>
          </w:p>
        </w:tc>
      </w:tr>
      <w:tr w:rsidR="003707F3" w:rsidRPr="00AA0F01" w14:paraId="0733257E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7F18713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7BB3E90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5C0B88" w14:textId="77777777" w:rsidR="003707F3" w:rsidRPr="0049104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55BE0" w:rsidRPr="00AA0F01" w14:paraId="182030EA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52FE67D2" w14:textId="74FBBC87" w:rsidR="00D55BE0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4E1C287" w14:textId="77777777" w:rsidR="00D55BE0" w:rsidRPr="00491043" w:rsidRDefault="00D55B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3F06359" w14:textId="77777777" w:rsidR="00D55BE0" w:rsidRPr="00491043" w:rsidRDefault="00D55B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45D37208" w14:textId="77777777" w:rsidTr="00E4164B">
        <w:trPr>
          <w:trHeight w:val="55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2724BD2" w14:textId="7BC9EDAD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Ancillary Provisions</w:t>
            </w:r>
          </w:p>
        </w:tc>
      </w:tr>
      <w:tr w:rsidR="007D5F43" w:rsidRPr="00AA0F01" w14:paraId="4F54EF81" w14:textId="77777777" w:rsidTr="00E4164B">
        <w:trPr>
          <w:trHeight w:val="693"/>
        </w:trPr>
        <w:tc>
          <w:tcPr>
            <w:tcW w:w="2747" w:type="dxa"/>
            <w:shd w:val="clear" w:color="auto" w:fill="D9D9D9" w:themeFill="background1" w:themeFillShade="D9"/>
          </w:tcPr>
          <w:p w14:paraId="5BCA8654" w14:textId="68FBC933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90342A" w14:textId="0807B5AE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E2DD519" w14:textId="2AD19387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4F6D5C14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08751663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EE8845F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92AF107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41F64BF3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3172507F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986DAD4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859D7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1D71D9E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20CC76D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5EF77CC7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77ACF5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539B9ABF" w14:textId="77777777" w:rsidTr="00E4164B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88F7C2D" w14:textId="406392E4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Energy Efficiency</w:t>
            </w:r>
          </w:p>
        </w:tc>
      </w:tr>
      <w:tr w:rsidR="007D5F43" w:rsidRPr="00AA0F01" w14:paraId="5C4AA964" w14:textId="77777777" w:rsidTr="00E4164B">
        <w:trPr>
          <w:trHeight w:val="709"/>
        </w:trPr>
        <w:tc>
          <w:tcPr>
            <w:tcW w:w="2747" w:type="dxa"/>
            <w:shd w:val="clear" w:color="auto" w:fill="auto"/>
          </w:tcPr>
          <w:p w14:paraId="138C6768" w14:textId="385C9536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67C857" w14:textId="1EE7591B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auto"/>
          </w:tcPr>
          <w:p w14:paraId="047D76FE" w14:textId="2C52237F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5BDAF6B6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3B147540" w14:textId="7EB8AF16" w:rsidR="007D5F43" w:rsidRPr="00491043" w:rsidRDefault="000B740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AE2ED72" w14:textId="7B283843" w:rsidR="007D5F43" w:rsidRPr="00491043" w:rsidRDefault="000B740D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B740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Energy efficiency must comply with NCC Section J for Climate Zone 2.</w:t>
            </w:r>
          </w:p>
        </w:tc>
        <w:tc>
          <w:tcPr>
            <w:tcW w:w="5812" w:type="dxa"/>
            <w:shd w:val="clear" w:color="auto" w:fill="auto"/>
          </w:tcPr>
          <w:p w14:paraId="0EBBF60D" w14:textId="0B66D9C0" w:rsidR="007D5F43" w:rsidRPr="00491043" w:rsidRDefault="0072658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72658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Insulation, energy-efficient lighting, and glazing were installed.</w:t>
            </w:r>
          </w:p>
        </w:tc>
      </w:tr>
      <w:tr w:rsidR="007D5F43" w:rsidRPr="00AA0F01" w14:paraId="7B9EB2C8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7A37817A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E6F0B99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51CC42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60CAA85F" w14:textId="77777777" w:rsidTr="00E4164B">
        <w:trPr>
          <w:trHeight w:val="2438"/>
        </w:trPr>
        <w:tc>
          <w:tcPr>
            <w:tcW w:w="2747" w:type="dxa"/>
            <w:shd w:val="clear" w:color="auto" w:fill="auto"/>
          </w:tcPr>
          <w:p w14:paraId="55425355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C83C07D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7C68BC" w14:textId="77777777" w:rsidR="007D5F43" w:rsidRPr="004910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086D65" w:rsidRPr="00AA0F01" w14:paraId="69561241" w14:textId="77777777" w:rsidTr="00E4164B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EC9A89C" w14:textId="0451387E" w:rsidR="00086D65" w:rsidRPr="00086D65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Health and Safety</w:t>
            </w:r>
          </w:p>
        </w:tc>
      </w:tr>
      <w:tr w:rsidR="003707F3" w:rsidRPr="00AA0F01" w14:paraId="2F00D383" w14:textId="77777777" w:rsidTr="00E4164B">
        <w:trPr>
          <w:trHeight w:val="8164"/>
        </w:trPr>
        <w:tc>
          <w:tcPr>
            <w:tcW w:w="14087" w:type="dxa"/>
            <w:gridSpan w:val="4"/>
            <w:shd w:val="clear" w:color="auto" w:fill="auto"/>
          </w:tcPr>
          <w:p w14:paraId="2C3FE6F9" w14:textId="77777777" w:rsidR="00A36408" w:rsidRPr="00A36408" w:rsidRDefault="00A36408" w:rsidP="00A3640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3640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Safe Work Method Statements (SWMS) prepared for high-risk activities, including concrete pouring, structural framing, and roofing.</w:t>
            </w:r>
          </w:p>
          <w:p w14:paraId="2A8CB54D" w14:textId="77777777" w:rsidR="00A36408" w:rsidRPr="00A36408" w:rsidRDefault="00A36408" w:rsidP="00A3640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3640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Regular site inspections conducted to identify and mitigate hazards.</w:t>
            </w:r>
          </w:p>
          <w:p w14:paraId="73141274" w14:textId="77777777" w:rsidR="00A36408" w:rsidRPr="00A36408" w:rsidRDefault="00A36408" w:rsidP="00A3640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3640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Weekly toolbox talks held to address site-specific safety concerns and fire safety updates.</w:t>
            </w:r>
          </w:p>
          <w:p w14:paraId="6414D0EB" w14:textId="77777777" w:rsidR="00A36408" w:rsidRPr="00A36408" w:rsidRDefault="00A36408" w:rsidP="00A3640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3640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Emergency response plan developed, including evacuation routes and first aid procedures.</w:t>
            </w:r>
          </w:p>
          <w:p w14:paraId="73E18D90" w14:textId="0D9FAD0D" w:rsidR="003707F3" w:rsidRPr="00491043" w:rsidRDefault="00A36408" w:rsidP="00A3640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3640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Personal Protective Equipment (PPE) policy enforced, requiring hard hats, high-visibility clothing, gloves, and safety boot</w:t>
            </w:r>
          </w:p>
        </w:tc>
      </w:tr>
    </w:tbl>
    <w:p w14:paraId="249D9ADE" w14:textId="77777777" w:rsidR="00800479" w:rsidRPr="00800479" w:rsidRDefault="00800479">
      <w:pPr>
        <w:rPr>
          <w:sz w:val="12"/>
          <w:szCs w:val="12"/>
        </w:rPr>
      </w:pPr>
    </w:p>
    <w:tbl>
      <w:tblPr>
        <w:tblW w:w="14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  <w:gridCol w:w="2693"/>
        <w:gridCol w:w="2410"/>
        <w:gridCol w:w="2835"/>
        <w:gridCol w:w="1984"/>
      </w:tblGrid>
      <w:tr w:rsidR="00AA0F01" w:rsidRPr="00AA0F01" w14:paraId="218FB19A" w14:textId="77777777" w:rsidTr="00E4164B">
        <w:trPr>
          <w:trHeight w:val="377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2CC520FF" w14:textId="166A6986" w:rsidR="00A77466" w:rsidRPr="003707F3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Consultation</w:t>
            </w:r>
          </w:p>
        </w:tc>
      </w:tr>
      <w:tr w:rsidR="003707F3" w:rsidRPr="00AA0F01" w14:paraId="639AFA19" w14:textId="77777777" w:rsidTr="00E4164B">
        <w:trPr>
          <w:trHeight w:val="2438"/>
        </w:trPr>
        <w:tc>
          <w:tcPr>
            <w:tcW w:w="14087" w:type="dxa"/>
            <w:gridSpan w:val="5"/>
            <w:shd w:val="clear" w:color="auto" w:fill="auto"/>
          </w:tcPr>
          <w:p w14:paraId="10A0E8CA" w14:textId="77777777" w:rsidR="00011C79" w:rsidRPr="00011C79" w:rsidRDefault="00011C79" w:rsidP="00011C79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11C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Consultation with fire safety engineers to ensure fire-rated walls meet the NCC’s specified Fire Resistance Levels (FRLs).</w:t>
            </w:r>
          </w:p>
          <w:p w14:paraId="080F468F" w14:textId="77777777" w:rsidR="00011C79" w:rsidRPr="00011C79" w:rsidRDefault="00011C79" w:rsidP="00011C79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11C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Accessibility consultant engaged to confirm compliance with AS 1428.1 for tactile indicators and continuous accessible paths.</w:t>
            </w:r>
          </w:p>
          <w:p w14:paraId="4D127FC4" w14:textId="77777777" w:rsidR="00011C79" w:rsidRPr="00011C79" w:rsidRDefault="00011C79" w:rsidP="00011C79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11C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Structural engineer consulted to verify site grading and drainage systems to prevent water ingress.</w:t>
            </w:r>
          </w:p>
          <w:p w14:paraId="561E4DC9" w14:textId="59BC554C" w:rsidR="003707F3" w:rsidRPr="00491043" w:rsidRDefault="00011C79" w:rsidP="00011C79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011C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Pest control specialist engaged to oversee termite barrier installation as per AS 3660.1.</w:t>
            </w:r>
          </w:p>
        </w:tc>
      </w:tr>
      <w:tr w:rsidR="00AA0F01" w:rsidRPr="00E84220" w14:paraId="1DE1B107" w14:textId="77777777" w:rsidTr="00E4164B">
        <w:trPr>
          <w:trHeight w:val="699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48166306" w14:textId="10A802C9" w:rsidR="00AA0F01" w:rsidRPr="003707F3" w:rsidRDefault="003707F3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Policies</w:t>
            </w:r>
          </w:p>
        </w:tc>
      </w:tr>
      <w:tr w:rsidR="003707F3" w:rsidRPr="00E84220" w14:paraId="4903BD61" w14:textId="77777777" w:rsidTr="00E4164B">
        <w:trPr>
          <w:trHeight w:val="4819"/>
        </w:trPr>
        <w:tc>
          <w:tcPr>
            <w:tcW w:w="14087" w:type="dxa"/>
            <w:gridSpan w:val="5"/>
            <w:shd w:val="clear" w:color="auto" w:fill="FFFFFF"/>
          </w:tcPr>
          <w:p w14:paraId="065CDD5D" w14:textId="77777777" w:rsidR="00011C79" w:rsidRPr="00011C79" w:rsidRDefault="00011C79" w:rsidP="00011C7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011C79">
              <w:rPr>
                <w:rFonts w:ascii="Arial" w:eastAsia="Times New Roman" w:hAnsi="Arial" w:cs="Arial"/>
                <w:bCs/>
                <w:sz w:val="20"/>
                <w:szCs w:val="20"/>
              </w:rPr>
              <w:t>Work Health and Safety (WHS) Policy: Ensures compliance with safety regulations, providing a safe working environment for all workers.</w:t>
            </w:r>
          </w:p>
          <w:p w14:paraId="33A4DD20" w14:textId="77777777" w:rsidR="00011C79" w:rsidRPr="00011C79" w:rsidRDefault="00011C79" w:rsidP="00011C7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011C79">
              <w:rPr>
                <w:rFonts w:ascii="Arial" w:eastAsia="Times New Roman" w:hAnsi="Arial" w:cs="Arial"/>
                <w:bCs/>
                <w:sz w:val="20"/>
                <w:szCs w:val="20"/>
              </w:rPr>
              <w:t>Environmental Management Policy: Minimizes site impact, addressing waste management and erosion control.</w:t>
            </w:r>
          </w:p>
          <w:p w14:paraId="1BFCB6F6" w14:textId="56C3F222" w:rsidR="003707F3" w:rsidRPr="00491043" w:rsidRDefault="00011C79" w:rsidP="00011C7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011C79">
              <w:rPr>
                <w:rFonts w:ascii="Arial" w:eastAsia="Times New Roman" w:hAnsi="Arial" w:cs="Arial"/>
                <w:bCs/>
                <w:sz w:val="20"/>
                <w:szCs w:val="20"/>
              </w:rPr>
              <w:t>Fire Safety Policy: Ensures fire protection systems and fire-rated materials are compliant with NCC requirements.</w:t>
            </w:r>
          </w:p>
        </w:tc>
      </w:tr>
      <w:tr w:rsidR="00AA0F01" w:rsidRPr="00AA0F01" w14:paraId="4FD7A68D" w14:textId="77777777" w:rsidTr="00E4164B">
        <w:trPr>
          <w:trHeight w:val="555"/>
        </w:trPr>
        <w:tc>
          <w:tcPr>
            <w:tcW w:w="14087" w:type="dxa"/>
            <w:gridSpan w:val="5"/>
            <w:shd w:val="clear" w:color="auto" w:fill="D9D9D9" w:themeFill="background1" w:themeFillShade="D9"/>
          </w:tcPr>
          <w:p w14:paraId="1FE5D98D" w14:textId="2AC1EA4D" w:rsidR="00A77466" w:rsidRPr="003707F3" w:rsidRDefault="003707F3" w:rsidP="003707F3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Procedures</w:t>
            </w:r>
          </w:p>
        </w:tc>
      </w:tr>
      <w:tr w:rsidR="00AA0F01" w:rsidRPr="00E84220" w14:paraId="42719202" w14:textId="77777777" w:rsidTr="00E4164B">
        <w:trPr>
          <w:trHeight w:val="8107"/>
        </w:trPr>
        <w:tc>
          <w:tcPr>
            <w:tcW w:w="14087" w:type="dxa"/>
            <w:gridSpan w:val="5"/>
            <w:shd w:val="clear" w:color="auto" w:fill="FFFFFF"/>
          </w:tcPr>
          <w:p w14:paraId="697A8EBE" w14:textId="77777777" w:rsidR="00011C79" w:rsidRPr="00011C79" w:rsidRDefault="00011C79" w:rsidP="00011C7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Site Inductions: All workers and subcontractors complete site-specific safety inductions.</w:t>
            </w:r>
          </w:p>
          <w:p w14:paraId="1DC2F168" w14:textId="77777777" w:rsidR="00011C79" w:rsidRPr="00011C79" w:rsidRDefault="00011C79" w:rsidP="00011C7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SWMS and Toolbox Talks: High-risk activities are documented in SWMS, and weekly toolbox talks address ongoing safety concerns.</w:t>
            </w:r>
          </w:p>
          <w:p w14:paraId="1F1D4F22" w14:textId="5AB3E936" w:rsidR="00FA6297" w:rsidRPr="00491043" w:rsidRDefault="00011C79" w:rsidP="00011C7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Inspections and Maintenance: Regular inspections of fire-rated materials and accessibility features during construction.</w:t>
            </w:r>
          </w:p>
        </w:tc>
      </w:tr>
      <w:tr w:rsidR="00FA2BE9" w:rsidRPr="00AA0F01" w14:paraId="0E61C710" w14:textId="77777777" w:rsidTr="00E4164B">
        <w:trPr>
          <w:trHeight w:val="780"/>
        </w:trPr>
        <w:tc>
          <w:tcPr>
            <w:tcW w:w="14087" w:type="dxa"/>
            <w:gridSpan w:val="5"/>
            <w:shd w:val="clear" w:color="auto" w:fill="D9D9D9" w:themeFill="background1" w:themeFillShade="D9"/>
            <w:vAlign w:val="center"/>
          </w:tcPr>
          <w:p w14:paraId="5F991259" w14:textId="015274DA" w:rsidR="00FA2BE9" w:rsidRPr="00AA0F01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lastRenderedPageBreak/>
              <w:t>Issues to</w:t>
            </w:r>
            <w:r>
              <w:rPr>
                <w:rFonts w:ascii="Arial Narrow" w:eastAsia="Times New Roman" w:hAnsi="Arial Narrow" w:cs="Times New Roman"/>
                <w:b/>
                <w:bCs/>
              </w:rPr>
              <w:t xml:space="preserve"> be addressed and consultation</w:t>
            </w:r>
          </w:p>
        </w:tc>
      </w:tr>
      <w:tr w:rsidR="00011C79" w:rsidRPr="00011C79" w14:paraId="756F111B" w14:textId="77777777" w:rsidTr="00011C79">
        <w:trPr>
          <w:trHeight w:val="342"/>
        </w:trPr>
        <w:tc>
          <w:tcPr>
            <w:tcW w:w="4165" w:type="dxa"/>
            <w:shd w:val="clear" w:color="auto" w:fill="auto"/>
            <w:vAlign w:val="center"/>
          </w:tcPr>
          <w:p w14:paraId="581E6569" w14:textId="6114E1D3" w:rsidR="00011C79" w:rsidRPr="00011C79" w:rsidRDefault="00011C79" w:rsidP="00011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011C79">
              <w:rPr>
                <w:rStyle w:val="Strong"/>
                <w:rFonts w:ascii="Arial" w:hAnsi="Arial" w:cs="Arial"/>
                <w:sz w:val="20"/>
                <w:szCs w:val="20"/>
              </w:rPr>
              <w:t>Issue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255A9E" w14:textId="1B645D3A" w:rsidR="00011C79" w:rsidRPr="00011C79" w:rsidRDefault="00011C79" w:rsidP="00011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011C79">
              <w:rPr>
                <w:rStyle w:val="Strong"/>
                <w:rFonts w:ascii="Arial" w:hAnsi="Arial" w:cs="Arial"/>
                <w:sz w:val="20"/>
                <w:szCs w:val="20"/>
              </w:rPr>
              <w:t>Who to Consult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22156" w14:textId="1CE75D84" w:rsidR="00011C79" w:rsidRPr="00011C79" w:rsidRDefault="00011C79" w:rsidP="00011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011C79">
              <w:rPr>
                <w:rStyle w:val="Strong"/>
                <w:rFonts w:ascii="Arial" w:hAnsi="Arial" w:cs="Arial"/>
                <w:sz w:val="20"/>
                <w:szCs w:val="20"/>
              </w:rPr>
              <w:t>Improvements for Consideration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5B417" w14:textId="2E5FEBE8" w:rsidR="00011C79" w:rsidRPr="00011C79" w:rsidRDefault="00011C79" w:rsidP="00011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011C79">
              <w:rPr>
                <w:rStyle w:val="Strong"/>
                <w:rFonts w:ascii="Arial" w:hAnsi="Arial" w:cs="Arial"/>
                <w:sz w:val="20"/>
                <w:szCs w:val="20"/>
              </w:rPr>
              <w:t>Feedback Following Consideration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2A93A5" w14:textId="349CEFAE" w:rsidR="00011C79" w:rsidRPr="00011C79" w:rsidRDefault="00011C79" w:rsidP="00011C7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  <w:r w:rsidRPr="00011C79">
              <w:rPr>
                <w:rStyle w:val="Strong"/>
                <w:rFonts w:ascii="Arial" w:hAnsi="Arial" w:cs="Arial"/>
                <w:sz w:val="20"/>
                <w:szCs w:val="20"/>
              </w:rPr>
              <w:t>Issue</w:t>
            </w:r>
          </w:p>
        </w:tc>
      </w:tr>
      <w:tr w:rsidR="00011C79" w:rsidRPr="00011C79" w14:paraId="3F7BB3CE" w14:textId="77777777" w:rsidTr="004D17B9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40F035CA" w14:textId="30E9FB06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Accessibility compliance for tactile indicators.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5A4C5F52" w14:textId="1B4FE38F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Accessibility consultant.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3EF1BDEE" w14:textId="62D99846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Ensure tactile indicators and compliant handrails are installed as per AS 1428.1.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5B1037F0" w14:textId="50B39F87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Feedback confirmed compliance with tactile indicator placement and handrail design.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83EE248" w14:textId="03A3C8BF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Accessibility compliance for tactile indicators.</w:t>
            </w:r>
          </w:p>
        </w:tc>
      </w:tr>
      <w:tr w:rsidR="00011C79" w:rsidRPr="00011C79" w14:paraId="05A9F50A" w14:textId="77777777" w:rsidTr="004D17B9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1853B331" w14:textId="15FBDFAD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Fire safety compliance for fire-rated walls and doors.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5E0E205D" w14:textId="7AC0BD52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Fire safety engineer and certifier.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5EFC6726" w14:textId="4F2BEBF3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Conduct inspections during installation to ensure FRLs of 60/60/60 and 90/90/90 are achieved.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40E1511" w14:textId="6307982D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Adjustments to door frames were made to meet fire safety standards.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7B4AF51B" w14:textId="3D58F565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Fire safety compliance for fire-rated walls and doors.</w:t>
            </w:r>
          </w:p>
        </w:tc>
      </w:tr>
      <w:tr w:rsidR="00011C79" w:rsidRPr="00011C79" w14:paraId="4A82C589" w14:textId="77777777" w:rsidTr="004D17B9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07FB5945" w14:textId="3565DA74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Preventing water ingress through proper drainage.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509C502E" w14:textId="1F7A6165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Structural engineer and plumber.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17BCE3AF" w14:textId="34F71D95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Install perimeter drains and ensure proper grading to direct stormwater away from the building foundations.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477646D" w14:textId="0736B852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Drainage systems passed inspection, grading near the rear entrance was improved to manage water flow.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335477C0" w14:textId="18CAEB67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Preventing water ingress through proper drainage.</w:t>
            </w:r>
          </w:p>
        </w:tc>
      </w:tr>
      <w:tr w:rsidR="00011C79" w:rsidRPr="00011C79" w14:paraId="3E13C4D6" w14:textId="77777777" w:rsidTr="004D17B9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7D278F7A" w14:textId="5949D770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Termite prevention.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71B8359A" w14:textId="00DABFA1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Pest control specialist.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42ED3F92" w14:textId="62F63218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Install physical termite barriers beneath slabs and around penetrations as per AS 3660.1.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22AC89CD" w14:textId="19EC9BD0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Termite barriers were installed successfully and verified by pest control specialist.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502F3512" w14:textId="3BB57B60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Fonts w:ascii="Arial" w:hAnsi="Arial" w:cs="Arial"/>
                <w:color w:val="000000"/>
                <w:sz w:val="20"/>
                <w:szCs w:val="20"/>
              </w:rPr>
              <w:t>Termite prevention.</w:t>
            </w:r>
          </w:p>
        </w:tc>
      </w:tr>
      <w:tr w:rsidR="00011C79" w:rsidRPr="00011C79" w14:paraId="5C8A2821" w14:textId="77777777" w:rsidTr="004D17B9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2BEA7F5C" w14:textId="25223861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Style w:val="Strong"/>
                <w:rFonts w:ascii="Arial" w:hAnsi="Arial" w:cs="Arial"/>
                <w:color w:val="FFFFFF"/>
                <w:sz w:val="20"/>
                <w:szCs w:val="20"/>
              </w:rPr>
              <w:t>Issue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5E24BEB1" w14:textId="2CD9B576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Style w:val="Strong"/>
                <w:rFonts w:ascii="Arial" w:hAnsi="Arial" w:cs="Arial"/>
                <w:color w:val="FFFFFF"/>
                <w:sz w:val="20"/>
                <w:szCs w:val="20"/>
              </w:rPr>
              <w:t>Who to Consult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42B47713" w14:textId="371329A3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Style w:val="Strong"/>
                <w:rFonts w:ascii="Arial" w:hAnsi="Arial" w:cs="Arial"/>
                <w:color w:val="FFFFFF"/>
                <w:sz w:val="20"/>
                <w:szCs w:val="20"/>
              </w:rPr>
              <w:t>Improvements for Consideration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2048E786" w14:textId="75312DC6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Style w:val="Strong"/>
                <w:rFonts w:ascii="Arial" w:hAnsi="Arial" w:cs="Arial"/>
                <w:color w:val="FFFFFF"/>
                <w:sz w:val="20"/>
                <w:szCs w:val="20"/>
              </w:rPr>
              <w:t>Feedback Following Consideration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7E6CE6E" w14:textId="3C4AEB1D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11C79">
              <w:rPr>
                <w:rStyle w:val="Strong"/>
                <w:rFonts w:ascii="Arial" w:hAnsi="Arial" w:cs="Arial"/>
                <w:color w:val="FFFFFF"/>
                <w:sz w:val="20"/>
                <w:szCs w:val="20"/>
              </w:rPr>
              <w:t>Issue</w:t>
            </w:r>
          </w:p>
        </w:tc>
      </w:tr>
      <w:tr w:rsidR="00011C79" w:rsidRPr="00011C79" w14:paraId="30941CC2" w14:textId="77777777" w:rsidTr="004D17B9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628FE0BC" w14:textId="4C692959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14:paraId="44AD7C2A" w14:textId="27964F33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14:paraId="4E81385D" w14:textId="6A0D9EE9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4E5C3135" w14:textId="74A7F276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41D8ADE6" w14:textId="59F3AFB1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011C79" w:rsidRPr="00011C79" w14:paraId="077017B3" w14:textId="77777777" w:rsidTr="004D17B9">
        <w:trPr>
          <w:trHeight w:val="985"/>
        </w:trPr>
        <w:tc>
          <w:tcPr>
            <w:tcW w:w="4165" w:type="dxa"/>
            <w:shd w:val="clear" w:color="auto" w:fill="FFFFFF"/>
            <w:vAlign w:val="center"/>
          </w:tcPr>
          <w:p w14:paraId="3B324F7B" w14:textId="60B28DD2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14:paraId="14200531" w14:textId="3A9E29B3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/>
            <w:vAlign w:val="center"/>
          </w:tcPr>
          <w:p w14:paraId="2B73E4AC" w14:textId="3A611CE4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181852FC" w14:textId="11927361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78343F5F" w14:textId="796422A8" w:rsidR="00011C79" w:rsidRPr="00011C79" w:rsidRDefault="00011C79" w:rsidP="00011C79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18"/>
                <w:szCs w:val="18"/>
              </w:rPr>
            </w:pPr>
          </w:p>
        </w:tc>
      </w:tr>
    </w:tbl>
    <w:p w14:paraId="65E070BD" w14:textId="191F9B9B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2966A6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1E726" w14:textId="77777777" w:rsidR="009C5132" w:rsidRDefault="009C5132" w:rsidP="009C5132">
      <w:pPr>
        <w:spacing w:after="0" w:line="240" w:lineRule="auto"/>
      </w:pPr>
      <w:r>
        <w:separator/>
      </w:r>
    </w:p>
  </w:endnote>
  <w:endnote w:type="continuationSeparator" w:id="0">
    <w:p w14:paraId="4187F68E" w14:textId="77777777" w:rsidR="009C5132" w:rsidRDefault="009C5132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54B80674" w:rsidR="000E6964" w:rsidRPr="007F42F3" w:rsidRDefault="00011C79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EndPr/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91043">
          <w:rPr>
            <w:rFonts w:ascii="Arial" w:eastAsia="Times New Roman" w:hAnsi="Arial" w:cs="Arial"/>
            <w:b/>
            <w:sz w:val="16"/>
            <w:szCs w:val="16"/>
          </w:rPr>
          <w:t>v1-1_07/03/2023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53B3C54F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95F4B">
          <w:rPr>
            <w:rFonts w:ascii="Arial" w:eastAsia="Times New Roman" w:hAnsi="Arial" w:cs="Arial"/>
            <w:b/>
            <w:sz w:val="16"/>
            <w:szCs w:val="16"/>
          </w:rPr>
          <w:t>v1-</w:t>
        </w:r>
        <w:r w:rsidR="00491043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195F4B">
          <w:rPr>
            <w:rFonts w:ascii="Arial" w:eastAsia="Times New Roman" w:hAnsi="Arial" w:cs="Arial"/>
            <w:b/>
            <w:sz w:val="16"/>
            <w:szCs w:val="16"/>
          </w:rPr>
          <w:t>_07/0</w:t>
        </w:r>
        <w:r w:rsidR="00491043">
          <w:rPr>
            <w:rFonts w:ascii="Arial" w:eastAsia="Times New Roman" w:hAnsi="Arial" w:cs="Arial"/>
            <w:b/>
            <w:sz w:val="16"/>
            <w:szCs w:val="16"/>
          </w:rPr>
          <w:t>3</w:t>
        </w:r>
        <w:r w:rsidR="00195F4B">
          <w:rPr>
            <w:rFonts w:ascii="Arial" w:eastAsia="Times New Roman" w:hAnsi="Arial" w:cs="Arial"/>
            <w:b/>
            <w:sz w:val="16"/>
            <w:szCs w:val="16"/>
          </w:rPr>
          <w:t>/2023</w:t>
        </w:r>
      </w:sdtContent>
    </w:sdt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16CB0" w14:textId="77777777" w:rsidR="009C5132" w:rsidRDefault="009C5132" w:rsidP="009C5132">
      <w:pPr>
        <w:spacing w:after="0" w:line="240" w:lineRule="auto"/>
      </w:pPr>
      <w:r>
        <w:separator/>
      </w:r>
    </w:p>
  </w:footnote>
  <w:footnote w:type="continuationSeparator" w:id="0">
    <w:p w14:paraId="6CB160B7" w14:textId="77777777" w:rsidR="009C5132" w:rsidRDefault="009C5132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6B94" w14:textId="545448D4" w:rsidR="009C5132" w:rsidRDefault="00011C79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748998230"/>
        <w:placeholder>
          <w:docPart w:val="1F70B64AFB6F44BF82C0BC8CE63356A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91043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CPCCBC4053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2 to 9 Type C buildings</w:t>
        </w:r>
      </w:sdtContent>
    </w:sdt>
  </w:p>
  <w:p w14:paraId="1993EEC6" w14:textId="77777777" w:rsidR="009C5132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02E9C" w14:textId="4E70A324" w:rsidR="009C5132" w:rsidRDefault="009C5132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349601279"/>
        <w:placeholder>
          <w:docPart w:val="C5C7C18579E84A3A97162A87960AD48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91043" w:rsidRPr="00491043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CPCCBC4053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95F4B">
          <w:rPr>
            <w:rFonts w:ascii="Arial" w:hAnsi="Arial" w:cs="Arial"/>
            <w:b/>
            <w:sz w:val="16"/>
            <w:szCs w:val="16"/>
          </w:rPr>
          <w:t>Apply building codes and standards to the construction process for Class 2 to 9 Type C buildings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916">
    <w:abstractNumId w:val="1"/>
  </w:num>
  <w:num w:numId="2" w16cid:durableId="45878244">
    <w:abstractNumId w:val="0"/>
  </w:num>
  <w:num w:numId="3" w16cid:durableId="1721631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11C79"/>
    <w:rsid w:val="000262CD"/>
    <w:rsid w:val="00042DC1"/>
    <w:rsid w:val="0008368F"/>
    <w:rsid w:val="00086D65"/>
    <w:rsid w:val="000A359C"/>
    <w:rsid w:val="000B740D"/>
    <w:rsid w:val="000E275F"/>
    <w:rsid w:val="000E6964"/>
    <w:rsid w:val="0011214C"/>
    <w:rsid w:val="00195F4B"/>
    <w:rsid w:val="001E4066"/>
    <w:rsid w:val="002966A6"/>
    <w:rsid w:val="002A1B7B"/>
    <w:rsid w:val="002D412E"/>
    <w:rsid w:val="002E71A1"/>
    <w:rsid w:val="003707F3"/>
    <w:rsid w:val="003B1C04"/>
    <w:rsid w:val="00405B7A"/>
    <w:rsid w:val="0048353E"/>
    <w:rsid w:val="00491043"/>
    <w:rsid w:val="004A7014"/>
    <w:rsid w:val="004C79E4"/>
    <w:rsid w:val="005C6694"/>
    <w:rsid w:val="005E11E6"/>
    <w:rsid w:val="00673CF1"/>
    <w:rsid w:val="00690F17"/>
    <w:rsid w:val="006C37FD"/>
    <w:rsid w:val="0072658B"/>
    <w:rsid w:val="00742C82"/>
    <w:rsid w:val="007639BF"/>
    <w:rsid w:val="00774DBB"/>
    <w:rsid w:val="007C4CAF"/>
    <w:rsid w:val="007D5F43"/>
    <w:rsid w:val="00800479"/>
    <w:rsid w:val="008045D9"/>
    <w:rsid w:val="00863122"/>
    <w:rsid w:val="008727DC"/>
    <w:rsid w:val="008772A5"/>
    <w:rsid w:val="00947FDF"/>
    <w:rsid w:val="009C5132"/>
    <w:rsid w:val="00A13A49"/>
    <w:rsid w:val="00A36408"/>
    <w:rsid w:val="00A77466"/>
    <w:rsid w:val="00AA0F01"/>
    <w:rsid w:val="00AD63EE"/>
    <w:rsid w:val="00B14CF1"/>
    <w:rsid w:val="00BA5E42"/>
    <w:rsid w:val="00BD7D15"/>
    <w:rsid w:val="00C633D3"/>
    <w:rsid w:val="00C73AD7"/>
    <w:rsid w:val="00D55BE0"/>
    <w:rsid w:val="00D73E5E"/>
    <w:rsid w:val="00DB3008"/>
    <w:rsid w:val="00DE0BB4"/>
    <w:rsid w:val="00DF7E8E"/>
    <w:rsid w:val="00E01439"/>
    <w:rsid w:val="00E01B94"/>
    <w:rsid w:val="00E3137C"/>
    <w:rsid w:val="00E4164B"/>
    <w:rsid w:val="00E47AA8"/>
    <w:rsid w:val="00E84220"/>
    <w:rsid w:val="00E84316"/>
    <w:rsid w:val="00ED4530"/>
    <w:rsid w:val="00F10A38"/>
    <w:rsid w:val="00FA1572"/>
    <w:rsid w:val="00FA2BE9"/>
    <w:rsid w:val="00FA6297"/>
    <w:rsid w:val="00FC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043"/>
    <w:rPr>
      <w:color w:val="808080"/>
    </w:rPr>
  </w:style>
  <w:style w:type="character" w:styleId="Strong">
    <w:name w:val="Strong"/>
    <w:basedOn w:val="DefaultParagraphFont"/>
    <w:uiPriority w:val="22"/>
    <w:qFormat/>
    <w:rsid w:val="00011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5C7C18579E84A3A97162A87960AD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6BEF8-586B-4A5C-ABD0-76E8BE2080BC}"/>
      </w:docPartPr>
      <w:docPartBody>
        <w:p w:rsidR="000E35AE" w:rsidRDefault="002A1447">
          <w:r w:rsidRPr="00E723EF">
            <w:rPr>
              <w:rStyle w:val="PlaceholderText"/>
            </w:rPr>
            <w:t>[Category]</w:t>
          </w:r>
        </w:p>
      </w:docPartBody>
    </w:docPart>
    <w:docPart>
      <w:docPartPr>
        <w:name w:val="1F70B64AFB6F44BF82C0BC8CE6335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F7FA4-3149-432F-B788-462E5EE4D170}"/>
      </w:docPartPr>
      <w:docPartBody>
        <w:p w:rsidR="000E35AE" w:rsidRDefault="002A1447">
          <w:r w:rsidRPr="00E723EF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47"/>
    <w:rsid w:val="000E35AE"/>
    <w:rsid w:val="002A1447"/>
    <w:rsid w:val="002A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44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144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16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CPCCBC4001</vt:lpstr>
    </vt:vector>
  </TitlesOfParts>
  <Company/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CPCCBC4053</dc:title>
  <dc:subject>Apply building codes and standards to the construction process for Class 2 to 9 Type C buildings</dc:subject>
  <dc:creator>Heidi Newton</dc:creator>
  <cp:keywords/>
  <dc:description/>
  <cp:lastModifiedBy>Abbie Heaslip-JHG</cp:lastModifiedBy>
  <cp:revision>18</cp:revision>
  <cp:lastPrinted>2022-02-08T03:08:00Z</cp:lastPrinted>
  <dcterms:created xsi:type="dcterms:W3CDTF">2023-03-07T00:17:00Z</dcterms:created>
  <dcterms:modified xsi:type="dcterms:W3CDTF">2025-07-08T05:45:00Z</dcterms:modified>
  <cp:category>Handout 1</cp:category>
  <cp:contentStatus>v1-1_07/03/2023</cp:contentStatus>
</cp:coreProperties>
</file>