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spacing w:before="120" w:after="0" w:line="360" w:lineRule="auto"/>
        <w:jc w:val="both"/>
        <w:outlineLvl w:val="0"/>
        <w:rPr>
          <w:rFonts w:ascii="Arial" w:hAnsi="Arial" w:eastAsia="Times New Roman" w:cs="Arial"/>
          <w:b/>
          <w:bCs/>
          <w:color w:val="000000"/>
          <w:sz w:val="32"/>
          <w:szCs w:val="32"/>
          <w:lang w:eastAsia="en-AU"/>
        </w:rPr>
      </w:pPr>
      <w:r>
        <w:rPr>
          <w:rFonts w:ascii="Arial" w:hAnsi="Arial" w:eastAsia="Times New Roman" w:cs="Arial"/>
          <w:b/>
          <w:bCs/>
          <w:color w:val="000000"/>
          <w:sz w:val="32"/>
          <w:szCs w:val="32"/>
          <w:lang w:eastAsia="en-AU"/>
        </w:rPr>
        <w:t>Documentation of design and construction (suitability or evidence of suitability)</w:t>
      </w:r>
    </w:p>
    <w:tbl>
      <w:tblPr>
        <w:tblStyle w:val="7"/>
        <w:tblW w:w="14087" w:type="dxa"/>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7"/>
        <w:gridCol w:w="4296"/>
        <w:gridCol w:w="1232"/>
        <w:gridCol w:w="5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4087" w:type="dxa"/>
            <w:gridSpan w:val="4"/>
            <w:shd w:val="clear" w:color="auto" w:fill="FFFFFF"/>
            <w:vAlign w:val="center"/>
          </w:tcPr>
          <w:p>
            <w:pPr>
              <w:autoSpaceDE w:val="0"/>
              <w:autoSpaceDN w:val="0"/>
              <w:adjustRightInd w:val="0"/>
              <w:spacing w:before="144" w:beforeLines="60" w:after="144" w:afterLines="60" w:line="276" w:lineRule="auto"/>
              <w:jc w:val="both"/>
              <w:outlineLvl w:val="0"/>
              <w:rPr>
                <w:rFonts w:hint="default" w:ascii="Arial" w:hAnsi="Arial" w:eastAsia="宋体" w:cs="Arial"/>
                <w:bCs/>
                <w:color w:val="44546A"/>
                <w:sz w:val="20"/>
                <w:szCs w:val="20"/>
                <w:lang w:val="en-US" w:eastAsia="zh-CN"/>
              </w:rPr>
            </w:pPr>
            <w:r>
              <w:rPr>
                <w:rFonts w:ascii="Arial" w:hAnsi="Arial" w:eastAsia="Times New Roman" w:cs="Arial"/>
                <w:b/>
                <w:color w:val="000000"/>
                <w:sz w:val="20"/>
                <w:szCs w:val="20"/>
              </w:rPr>
              <w:t>Project Name:</w:t>
            </w:r>
            <w:r>
              <w:rPr>
                <w:rFonts w:ascii="Arial" w:hAnsi="Arial" w:eastAsia="Times New Roman" w:cs="Arial"/>
                <w:bCs/>
                <w:color w:val="44546A"/>
                <w:sz w:val="20"/>
                <w:szCs w:val="20"/>
              </w:rPr>
              <w:t xml:space="preserve"> </w:t>
            </w:r>
            <w:r>
              <w:rPr>
                <w:rFonts w:hint="eastAsia" w:ascii="Arial" w:hAnsi="Arial" w:eastAsia="宋体" w:cs="Arial"/>
                <w:bCs/>
                <w:color w:val="44546A"/>
                <w:sz w:val="20"/>
                <w:szCs w:val="20"/>
                <w:lang w:val="en-US" w:eastAsia="zh-CN"/>
              </w:rPr>
              <w:t xml:space="preserve">building house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43" w:type="dxa"/>
            <w:gridSpan w:val="2"/>
            <w:shd w:val="clear" w:color="auto" w:fill="FFFFFF"/>
            <w:vAlign w:val="center"/>
          </w:tcPr>
          <w:p>
            <w:pPr>
              <w:autoSpaceDE w:val="0"/>
              <w:autoSpaceDN w:val="0"/>
              <w:adjustRightInd w:val="0"/>
              <w:spacing w:before="144" w:beforeLines="60" w:after="144" w:afterLines="60" w:line="276" w:lineRule="auto"/>
              <w:jc w:val="both"/>
              <w:outlineLvl w:val="0"/>
              <w:rPr>
                <w:rFonts w:hint="default" w:ascii="Arial" w:hAnsi="Arial" w:eastAsia="宋体" w:cs="Arial"/>
                <w:bCs/>
                <w:color w:val="000000"/>
                <w:sz w:val="20"/>
                <w:szCs w:val="20"/>
                <w:lang w:val="en-US" w:eastAsia="zh-CN"/>
              </w:rPr>
            </w:pPr>
            <w:r>
              <w:rPr>
                <w:rFonts w:ascii="Arial" w:hAnsi="Arial" w:eastAsia="Times New Roman" w:cs="Arial"/>
                <w:b/>
                <w:color w:val="000000"/>
                <w:sz w:val="20"/>
                <w:szCs w:val="20"/>
              </w:rPr>
              <w:t>Project address:</w:t>
            </w:r>
            <w:r>
              <w:rPr>
                <w:rFonts w:ascii="Arial" w:hAnsi="Arial" w:eastAsia="Times New Roman" w:cs="Arial"/>
                <w:bCs/>
                <w:color w:val="000000"/>
                <w:sz w:val="20"/>
                <w:szCs w:val="20"/>
              </w:rPr>
              <w:t xml:space="preserve"> </w:t>
            </w:r>
            <w:r>
              <w:rPr>
                <w:rFonts w:hint="eastAsia" w:ascii="Arial" w:hAnsi="Arial" w:eastAsia="宋体" w:cs="Arial"/>
                <w:bCs/>
                <w:color w:val="000000"/>
                <w:sz w:val="20"/>
                <w:szCs w:val="20"/>
                <w:lang w:val="en-US" w:eastAsia="zh-CN"/>
              </w:rPr>
              <w:t>22</w:t>
            </w:r>
          </w:p>
        </w:tc>
        <w:tc>
          <w:tcPr>
            <w:tcW w:w="7044" w:type="dxa"/>
            <w:gridSpan w:val="2"/>
            <w:shd w:val="clear" w:color="auto" w:fill="FFFFFF"/>
            <w:vAlign w:val="center"/>
          </w:tcPr>
          <w:p>
            <w:pPr>
              <w:autoSpaceDE w:val="0"/>
              <w:autoSpaceDN w:val="0"/>
              <w:adjustRightInd w:val="0"/>
              <w:spacing w:before="144" w:beforeLines="60" w:after="144" w:afterLines="60" w:line="276" w:lineRule="auto"/>
              <w:jc w:val="both"/>
              <w:outlineLvl w:val="0"/>
              <w:rPr>
                <w:rFonts w:hint="default" w:ascii="Arial" w:hAnsi="Arial" w:eastAsia="宋体" w:cs="Arial"/>
                <w:bCs/>
                <w:color w:val="000000"/>
                <w:sz w:val="20"/>
                <w:szCs w:val="20"/>
                <w:lang w:val="en-US" w:eastAsia="zh-CN"/>
              </w:rPr>
            </w:pPr>
            <w:r>
              <w:rPr>
                <w:rFonts w:ascii="Arial" w:hAnsi="Arial" w:eastAsia="Times New Roman" w:cs="Arial"/>
                <w:b/>
                <w:color w:val="000000"/>
                <w:sz w:val="20"/>
                <w:szCs w:val="20"/>
              </w:rPr>
              <w:t>Site Plans attached:</w:t>
            </w:r>
            <w:r>
              <w:rPr>
                <w:rFonts w:ascii="Arial" w:hAnsi="Arial" w:eastAsia="Times New Roman" w:cs="Arial"/>
                <w:bCs/>
                <w:color w:val="000000"/>
                <w:sz w:val="20"/>
                <w:szCs w:val="20"/>
              </w:rPr>
              <w:t xml:space="preserve"> </w:t>
            </w:r>
            <w:r>
              <w:rPr>
                <w:rFonts w:hint="eastAsia" w:ascii="Arial" w:hAnsi="Arial" w:eastAsia="宋体" w:cs="Arial"/>
                <w:bCs/>
                <w:color w:val="000000"/>
                <w:sz w:val="20"/>
                <w:szCs w:val="20"/>
                <w:lang w:val="en-US" w:eastAsia="zh-CN"/>
              </w:rPr>
              <w:t xml:space="preserve">yes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4087" w:type="dxa"/>
            <w:gridSpan w:val="4"/>
            <w:shd w:val="clear" w:color="auto" w:fill="FFFFFF"/>
            <w:vAlign w:val="center"/>
          </w:tcPr>
          <w:p>
            <w:pPr>
              <w:autoSpaceDE w:val="0"/>
              <w:autoSpaceDN w:val="0"/>
              <w:adjustRightInd w:val="0"/>
              <w:spacing w:before="144" w:beforeLines="60" w:after="144" w:afterLines="60" w:line="276" w:lineRule="auto"/>
              <w:jc w:val="both"/>
              <w:rPr>
                <w:rFonts w:hint="default" w:ascii="Arial" w:hAnsi="Arial" w:eastAsia="宋体" w:cs="Arial"/>
                <w:bCs/>
                <w:vanish/>
                <w:color w:val="44546A" w:themeColor="text2"/>
                <w:sz w:val="20"/>
                <w:szCs w:val="20"/>
                <w:lang w:val="en-US" w:eastAsia="zh-CN"/>
                <w14:textFill>
                  <w14:solidFill>
                    <w14:schemeClr w14:val="tx2"/>
                  </w14:solidFill>
                </w14:textFill>
              </w:rPr>
            </w:pPr>
            <w:r>
              <w:rPr>
                <w:rFonts w:ascii="Arial" w:hAnsi="Arial" w:eastAsia="Times New Roman" w:cs="Arial"/>
                <w:b/>
                <w:color w:val="000000"/>
                <w:sz w:val="20"/>
                <w:szCs w:val="20"/>
              </w:rPr>
              <w:t>Prepared by:</w:t>
            </w:r>
            <w:r>
              <w:rPr>
                <w:rFonts w:ascii="Arial" w:hAnsi="Arial" w:eastAsia="Times New Roman" w:cs="Arial"/>
                <w:bCs/>
                <w:color w:val="44546A"/>
                <w:sz w:val="20"/>
                <w:szCs w:val="20"/>
              </w:rPr>
              <w:t xml:space="preserve"> </w:t>
            </w:r>
            <w:r>
              <w:rPr>
                <w:rFonts w:hint="eastAsia" w:ascii="Arial" w:hAnsi="Arial" w:eastAsia="宋体" w:cs="Arial"/>
                <w:bCs/>
                <w:color w:val="44546A"/>
                <w:sz w:val="20"/>
                <w:szCs w:val="20"/>
                <w:lang w:val="en-US" w:eastAsia="zh-CN"/>
              </w:rPr>
              <w:t xml:space="preserve">Dawn constriction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4087" w:type="dxa"/>
            <w:gridSpan w:val="4"/>
            <w:shd w:val="clear" w:color="auto" w:fill="FFFFFF"/>
            <w:vAlign w:val="center"/>
          </w:tcPr>
          <w:p>
            <w:pPr>
              <w:autoSpaceDE w:val="0"/>
              <w:autoSpaceDN w:val="0"/>
              <w:adjustRightInd w:val="0"/>
              <w:spacing w:before="144" w:beforeLines="60" w:after="144" w:afterLines="60" w:line="276" w:lineRule="auto"/>
              <w:jc w:val="both"/>
              <w:outlineLvl w:val="0"/>
              <w:rPr>
                <w:rFonts w:hint="default" w:ascii="Arial" w:hAnsi="Arial" w:eastAsia="宋体" w:cs="Arial"/>
                <w:bCs/>
                <w:color w:val="44546A"/>
                <w:sz w:val="20"/>
                <w:szCs w:val="20"/>
                <w:lang w:val="en-US" w:eastAsia="zh-CN"/>
              </w:rPr>
            </w:pPr>
            <w:r>
              <w:rPr>
                <w:rFonts w:ascii="Arial" w:hAnsi="Arial" w:eastAsia="Times New Roman" w:cs="Arial"/>
                <w:b/>
                <w:color w:val="000000"/>
                <w:sz w:val="20"/>
                <w:szCs w:val="20"/>
              </w:rPr>
              <w:t>Date:</w:t>
            </w:r>
            <w:r>
              <w:rPr>
                <w:rFonts w:ascii="Arial" w:hAnsi="Arial" w:eastAsia="Times New Roman" w:cs="Arial"/>
                <w:bCs/>
                <w:color w:val="44546A"/>
                <w:sz w:val="20"/>
                <w:szCs w:val="20"/>
              </w:rPr>
              <w:t xml:space="preserve"> </w:t>
            </w:r>
            <w:r>
              <w:rPr>
                <w:rFonts w:hint="eastAsia" w:ascii="Arial" w:hAnsi="Arial" w:eastAsia="宋体" w:cs="Arial"/>
                <w:bCs/>
                <w:color w:val="44546A"/>
                <w:sz w:val="20"/>
                <w:szCs w:val="20"/>
                <w:lang w:val="en-US" w:eastAsia="zh-CN"/>
              </w:rPr>
              <w:t>08/02/19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0" w:hRule="atLeast"/>
        </w:trPr>
        <w:tc>
          <w:tcPr>
            <w:tcW w:w="14087" w:type="dxa"/>
            <w:gridSpan w:val="4"/>
            <w:shd w:val="clear" w:color="auto" w:fill="FFFFFF"/>
          </w:tcPr>
          <w:p>
            <w:pPr>
              <w:autoSpaceDE w:val="0"/>
              <w:autoSpaceDN w:val="0"/>
              <w:adjustRightInd w:val="0"/>
              <w:spacing w:before="144" w:beforeLines="60" w:after="144" w:afterLines="60" w:line="276" w:lineRule="auto"/>
              <w:outlineLvl w:val="0"/>
              <w:rPr>
                <w:rFonts w:ascii="Arial" w:hAnsi="Arial" w:eastAsia="Times New Roman" w:cs="Arial"/>
                <w:b/>
                <w:color w:val="000000"/>
                <w:sz w:val="20"/>
                <w:szCs w:val="20"/>
              </w:rPr>
            </w:pPr>
            <w:r>
              <w:rPr>
                <w:rFonts w:ascii="Arial" w:hAnsi="Arial" w:eastAsia="Times New Roman" w:cs="Arial"/>
                <w:b/>
                <w:color w:val="000000"/>
                <w:sz w:val="20"/>
                <w:szCs w:val="20"/>
              </w:rPr>
              <w:t>Description of project:</w:t>
            </w:r>
          </w:p>
          <w:p>
            <w:pPr>
              <w:autoSpaceDE w:val="0"/>
              <w:autoSpaceDN w:val="0"/>
              <w:adjustRightInd w:val="0"/>
              <w:spacing w:before="144" w:beforeLines="60" w:after="144" w:afterLines="60" w:line="276" w:lineRule="auto"/>
              <w:outlineLvl w:val="0"/>
              <w:rPr>
                <w:rFonts w:hint="default" w:ascii="Arial" w:hAnsi="Arial" w:eastAsia="宋体" w:cs="Arial"/>
                <w:bCs/>
                <w:color w:val="44546A" w:themeColor="text2"/>
                <w:sz w:val="20"/>
                <w:szCs w:val="20"/>
                <w:lang w:val="en-US" w:eastAsia="zh-CN"/>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 xml:space="preserve">Building a house in palara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0" w:hRule="atLeast"/>
        </w:trPr>
        <w:tc>
          <w:tcPr>
            <w:tcW w:w="14087" w:type="dxa"/>
            <w:gridSpan w:val="4"/>
            <w:shd w:val="clear" w:color="auto" w:fill="FFFFFF"/>
          </w:tcPr>
          <w:p>
            <w:pPr>
              <w:autoSpaceDE w:val="0"/>
              <w:autoSpaceDN w:val="0"/>
              <w:adjustRightInd w:val="0"/>
              <w:spacing w:before="144" w:beforeLines="60" w:after="144" w:afterLines="60" w:line="276" w:lineRule="auto"/>
              <w:outlineLvl w:val="0"/>
              <w:rPr>
                <w:rFonts w:ascii="Arial" w:hAnsi="Arial" w:eastAsia="Times New Roman" w:cs="Arial"/>
                <w:bCs/>
                <w:color w:val="000000"/>
                <w:sz w:val="20"/>
                <w:szCs w:val="20"/>
              </w:rPr>
            </w:pPr>
            <w:r>
              <w:rPr>
                <w:rFonts w:ascii="Arial" w:hAnsi="Arial" w:eastAsia="Times New Roman" w:cs="Arial"/>
                <w:b/>
                <w:color w:val="000000"/>
                <w:sz w:val="20"/>
                <w:szCs w:val="20"/>
              </w:rPr>
              <w:t>Site Classification/s, Class and Climate Zone Compliance (NCC bushfire, high wind, earthquake and alpine environment requirements.)</w:t>
            </w:r>
          </w:p>
          <w:p>
            <w:pPr>
              <w:autoSpaceDE w:val="0"/>
              <w:autoSpaceDN w:val="0"/>
              <w:adjustRightInd w:val="0"/>
              <w:spacing w:before="144" w:beforeLines="60" w:after="144" w:afterLines="60" w:line="276" w:lineRule="auto"/>
              <w:outlineLvl w:val="0"/>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Class one climate zone 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Cs/>
                <w:color w:val="44546A" w:themeColor="text2"/>
                <w:sz w:val="20"/>
                <w:szCs w:val="20"/>
                <w14:textFill>
                  <w14:solidFill>
                    <w14:schemeClr w14:val="tx2"/>
                  </w14:solidFill>
                </w14:textFill>
              </w:rPr>
            </w:pPr>
            <w:r>
              <w:rPr>
                <w:rFonts w:ascii="Arial" w:hAnsi="Arial" w:eastAsia="Times New Roman" w:cs="Arial"/>
                <w:b/>
                <w:color w:val="000000"/>
                <w:sz w:val="20"/>
                <w:szCs w:val="20"/>
              </w:rPr>
              <w:t>Documentation of design and construction (suitability or evidence of suitability)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Site preparation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Site preparation</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Earthworks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The provisions in Part 3.1.1 will enable earthworks associated with the construction of a building to be carried out safely and to avoid potential damage to the subject building, adjoining structures and property through the soil collapsing or subsiding.</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All denomination to be completely done before drawing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Site preparation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Site preparation</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Earth retaining structures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AS 4678 contains requirements for earth retaining structures between 800 mm and 15 m in height, and does not apply to structures which are founded in exceptional site conditions (e.g. landslips), are subjected to sustained cyclic loading or are used for the purposes of water-retaining (e.g. dams and reservoirs).</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Slab fabric sl 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Drainage</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The ground beneath suspended floors must be graded so that the area beneath the building is above the adjacent external finished ground level and surface water is prevented from ponding under the building</w:t>
            </w:r>
          </w:p>
        </w:tc>
        <w:tc>
          <w:tcPr>
            <w:tcW w:w="5812" w:type="dxa"/>
            <w:shd w:val="clear" w:color="auto" w:fill="auto"/>
          </w:tcPr>
          <w:p>
            <w:pPr>
              <w:spacing w:before="144" w:beforeLines="60" w:after="144" w:afterLines="60" w:line="276" w:lineRule="auto"/>
              <w:rPr>
                <w:rFonts w:hint="eastAsia"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Provide 100mm diameter heavy duty PVC </w:t>
            </w:r>
          </w:p>
          <w:p>
            <w:pPr>
              <w:spacing w:before="144" w:beforeLines="60" w:after="144" w:afterLines="60" w:line="276" w:lineRule="auto"/>
              <w:rPr>
                <w:rFonts w:hint="eastAsia"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Storm water pipe with minimum fall of 1:100 </w:t>
            </w:r>
          </w:p>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Provide 100mm storm water PVC pipe under garage and future driveway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Site preparation</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Termite risk management</w:t>
            </w:r>
          </w:p>
        </w:tc>
        <w:tc>
          <w:tcPr>
            <w:tcW w:w="5528" w:type="dxa"/>
            <w:gridSpan w:val="2"/>
            <w:shd w:val="clear" w:color="auto" w:fill="auto"/>
          </w:tcPr>
          <w:p>
            <w:pPr>
              <w:spacing w:before="144" w:beforeLines="60" w:after="144" w:afterLines="60" w:line="276" w:lineRule="auto"/>
              <w:rPr>
                <w:rFonts w:hint="eastAsia" w:ascii="Arial" w:hAnsi="Arial" w:eastAsia="Times New Roman" w:cs="Arial"/>
                <w:bCs/>
                <w:color w:val="000000"/>
                <w:sz w:val="20"/>
                <w:szCs w:val="20"/>
              </w:rPr>
            </w:pPr>
            <w:r>
              <w:rPr>
                <w:rFonts w:hint="eastAsia" w:ascii="Arial" w:hAnsi="Arial" w:eastAsia="Times New Roman" w:cs="Arial"/>
                <w:bCs/>
                <w:color w:val="000000"/>
                <w:sz w:val="20"/>
                <w:szCs w:val="20"/>
              </w:rPr>
              <w:t>(i)a Class 1 or 10 building is constructed in an area where subterranean termites are known to present a potential risk of attack; and</w:t>
            </w:r>
          </w:p>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 primary building element of a Class 1 or 10 building is considered susceptible to termite attack.</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Termite treatment to comply with AS 3660.1 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slab</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Waffle pod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Footings and slabs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14087" w:type="dxa"/>
            <w:gridSpan w:val="4"/>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Site classification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Footings and slabs</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Footings and slabs</w:t>
            </w:r>
          </w:p>
        </w:tc>
        <w:tc>
          <w:tcPr>
            <w:tcW w:w="5528" w:type="dxa"/>
            <w:gridSpan w:val="2"/>
            <w:shd w:val="clear" w:color="auto" w:fill="auto"/>
          </w:tcPr>
          <w:p>
            <w:pPr>
              <w:keepNext w:val="0"/>
              <w:keepLines w:val="0"/>
              <w:widowControl/>
              <w:suppressLineNumbers w:val="0"/>
              <w:shd w:val="clear" w:fill="FFFFFF"/>
              <w:ind w:left="0" w:firstLine="0"/>
              <w:jc w:val="left"/>
            </w:pPr>
            <w:r>
              <w:rPr>
                <w:rFonts w:hint="default" w:ascii="Arial" w:hAnsi="Arial" w:eastAsia="Arial" w:cs="Arial"/>
                <w:i w:val="0"/>
                <w:iCs w:val="0"/>
                <w:caps w:val="0"/>
                <w:color w:val="333333"/>
                <w:spacing w:val="0"/>
                <w:kern w:val="0"/>
                <w:sz w:val="24"/>
                <w:szCs w:val="24"/>
                <w:shd w:val="clear" w:fill="FFFFFF"/>
                <w:lang w:val="en-US" w:eastAsia="zh-CN" w:bidi="ar"/>
              </w:rPr>
              <w:t>a)</w:t>
            </w:r>
            <w:r>
              <w:rPr>
                <w:rFonts w:hint="default" w:ascii="Arial" w:hAnsi="Arial" w:eastAsia="Arial" w:cs="Arial"/>
                <w:i w:val="0"/>
                <w:iCs w:val="0"/>
                <w:caps w:val="0"/>
                <w:color w:val="333333"/>
                <w:spacing w:val="0"/>
                <w:sz w:val="24"/>
                <w:szCs w:val="24"/>
                <w:shd w:val="clear" w:fill="FFFFFF"/>
              </w:rPr>
              <w:t>The footing or slab is constructed in accordance with AS 2870.</w:t>
            </w:r>
          </w:p>
          <w:p>
            <w:pPr>
              <w:keepNext w:val="0"/>
              <w:keepLines w:val="0"/>
              <w:widowControl/>
              <w:suppressLineNumbers w:val="0"/>
              <w:shd w:val="clear" w:fill="FFFFFF"/>
              <w:ind w:left="0" w:firstLine="0"/>
              <w:jc w:val="left"/>
            </w:pPr>
            <w:r>
              <w:rPr>
                <w:rFonts w:hint="default" w:ascii="Arial" w:hAnsi="Arial" w:eastAsia="Arial" w:cs="Arial"/>
                <w:i w:val="0"/>
                <w:iCs w:val="0"/>
                <w:caps w:val="0"/>
                <w:color w:val="333333"/>
                <w:spacing w:val="0"/>
                <w:kern w:val="0"/>
                <w:sz w:val="24"/>
                <w:szCs w:val="24"/>
                <w:shd w:val="clear" w:fill="FFFFFF"/>
                <w:lang w:val="en-US" w:eastAsia="zh-CN" w:bidi="ar"/>
              </w:rPr>
              <w:t>(b)</w:t>
            </w:r>
            <w:r>
              <w:rPr>
                <w:rFonts w:hint="default" w:ascii="Arial" w:hAnsi="Arial" w:eastAsia="Arial" w:cs="Arial"/>
                <w:i w:val="0"/>
                <w:iCs w:val="0"/>
                <w:caps w:val="0"/>
                <w:color w:val="333333"/>
                <w:spacing w:val="0"/>
                <w:sz w:val="24"/>
                <w:szCs w:val="24"/>
                <w:shd w:val="clear" w:fill="FFFFFF"/>
              </w:rPr>
              <w:t>Piled footings are designed in accordance with AS 2159.</w:t>
            </w:r>
          </w:p>
          <w:p>
            <w:pPr>
              <w:spacing w:before="144" w:beforeLines="60" w:after="144" w:afterLines="60" w:line="276" w:lineRule="auto"/>
              <w:rPr>
                <w:rFonts w:ascii="Arial" w:hAnsi="Arial" w:eastAsia="Times New Roman" w:cs="Arial"/>
                <w:bCs/>
                <w:color w:val="000000"/>
                <w:sz w:val="20"/>
                <w:szCs w:val="20"/>
              </w:rPr>
            </w:pPr>
          </w:p>
        </w:tc>
        <w:tc>
          <w:tcPr>
            <w:tcW w:w="5812" w:type="dxa"/>
            <w:shd w:val="clear" w:color="auto" w:fill="auto"/>
          </w:tcPr>
          <w:p>
            <w:pPr>
              <w:spacing w:before="144" w:beforeLines="60" w:after="144" w:afterLines="60" w:line="276" w:lineRule="auto"/>
              <w:rPr>
                <w:rFonts w:hint="eastAsia"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Overall slab depth 310mm</w:t>
            </w:r>
          </w:p>
          <w:p>
            <w:pPr>
              <w:spacing w:before="144" w:beforeLines="60" w:after="144" w:afterLines="60" w:line="276" w:lineRule="auto"/>
              <w:rPr>
                <w:rFonts w:hint="eastAsia"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Slab thickness 85mm </w:t>
            </w:r>
          </w:p>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Stem width 150mm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Footings and slabs</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4"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Moisture Barrier</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 vapour barrier must be installed under slab-on-ground construction for a Class 1 building and for a Class 10 building where the slab is continuous with the slab of a Class 1 building in accordance with (2), (3), (4) and (5).</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Cut after galvanism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default" w:ascii="Arial" w:hAnsi="Arial" w:eastAsia="宋体" w:cs="Arial"/>
                <w:bCs/>
                <w:color w:val="000000"/>
                <w:sz w:val="20"/>
                <w:szCs w:val="20"/>
                <w:lang w:val="en-US" w:eastAsia="zh-CN"/>
              </w:rPr>
              <w:t>0.2 mm nominal thickness polyethylene film</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Concrete and reinforcement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Concrete and reinforcement</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Concrete and reinforcement</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Concrete must be placed, compacted and cured in accordance with good building practice.</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ascii="Arial" w:hAnsi="Arial" w:eastAsia="Arial" w:cs="Arial"/>
                <w:i w:val="0"/>
                <w:iCs w:val="0"/>
                <w:caps w:val="0"/>
                <w:color w:val="333333"/>
                <w:spacing w:val="0"/>
                <w:sz w:val="24"/>
                <w:szCs w:val="24"/>
                <w:shd w:val="clear" w:fill="FFFFFF"/>
              </w:rPr>
              <w:t>Steel reinforcing bars</w:t>
            </w:r>
          </w:p>
        </w:tc>
        <w:tc>
          <w:tcPr>
            <w:tcW w:w="5812" w:type="dxa"/>
            <w:shd w:val="clear" w:color="auto" w:fill="auto"/>
          </w:tcPr>
          <w:p>
            <w:pPr>
              <w:spacing w:before="144" w:beforeLines="60" w:after="144" w:afterLines="60" w:line="276" w:lineRule="auto"/>
              <w:rPr>
                <w:rFonts w:hint="eastAsia"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Form and sheltered 40mm</w:t>
            </w:r>
          </w:p>
          <w:p>
            <w:pPr>
              <w:spacing w:before="144" w:beforeLines="60" w:after="144" w:afterLines="60" w:line="276" w:lineRule="auto"/>
              <w:rPr>
                <w:rFonts w:hint="eastAsia"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Form and exposed 50mm</w:t>
            </w:r>
          </w:p>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No form work 75mm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Masonry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Masonry</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Masonry</w:t>
            </w:r>
          </w:p>
        </w:tc>
        <w:tc>
          <w:tcPr>
            <w:tcW w:w="5528" w:type="dxa"/>
            <w:gridSpan w:val="2"/>
            <w:shd w:val="clear" w:color="auto" w:fill="auto"/>
          </w:tcPr>
          <w:p>
            <w:pPr>
              <w:spacing w:before="144" w:beforeLines="60" w:after="144" w:afterLines="60" w:line="276" w:lineRule="auto"/>
              <w:rPr>
                <w:rFonts w:hint="eastAsia" w:ascii="Arial" w:hAnsi="Arial" w:eastAsia="Times New Roman" w:cs="Arial"/>
                <w:bCs/>
                <w:color w:val="000000"/>
                <w:sz w:val="20"/>
                <w:szCs w:val="20"/>
              </w:rPr>
            </w:pPr>
            <w:r>
              <w:rPr>
                <w:rFonts w:hint="eastAsia" w:ascii="Arial" w:hAnsi="Arial" w:eastAsia="Times New Roman" w:cs="Arial"/>
                <w:bCs/>
                <w:color w:val="000000"/>
                <w:sz w:val="20"/>
                <w:szCs w:val="20"/>
              </w:rPr>
              <w:t>unreinforced masonry (including masonry-veneer) if it is designed and constructed in accordance with one of the following:</w:t>
            </w:r>
          </w:p>
          <w:p>
            <w:pPr>
              <w:spacing w:before="144" w:beforeLines="60" w:after="144" w:afterLines="60" w:line="276" w:lineRule="auto"/>
              <w:rPr>
                <w:rFonts w:hint="eastAsia" w:ascii="Arial" w:hAnsi="Arial" w:eastAsia="Times New Roman" w:cs="Arial"/>
                <w:bCs/>
                <w:color w:val="000000"/>
                <w:sz w:val="20"/>
                <w:szCs w:val="20"/>
              </w:rPr>
            </w:pPr>
            <w:r>
              <w:rPr>
                <w:rFonts w:hint="eastAsia" w:ascii="Arial" w:hAnsi="Arial" w:eastAsia="Times New Roman" w:cs="Arial"/>
                <w:bCs/>
                <w:color w:val="000000"/>
                <w:sz w:val="20"/>
                <w:szCs w:val="20"/>
              </w:rPr>
              <w:t>(a)</w:t>
            </w:r>
          </w:p>
          <w:p>
            <w:pPr>
              <w:spacing w:before="144" w:beforeLines="60" w:after="144" w:afterLines="60" w:line="276" w:lineRule="auto"/>
              <w:rPr>
                <w:rFonts w:hint="eastAsia" w:ascii="Arial" w:hAnsi="Arial" w:eastAsia="Times New Roman" w:cs="Arial"/>
                <w:bCs/>
                <w:color w:val="000000"/>
                <w:sz w:val="20"/>
                <w:szCs w:val="20"/>
              </w:rPr>
            </w:pPr>
            <w:r>
              <w:rPr>
                <w:rFonts w:hint="eastAsia" w:ascii="Arial" w:hAnsi="Arial" w:eastAsia="Times New Roman" w:cs="Arial"/>
                <w:bCs/>
                <w:color w:val="000000"/>
                <w:sz w:val="20"/>
                <w:szCs w:val="20"/>
              </w:rPr>
              <w:t>AS 3700.</w:t>
            </w:r>
          </w:p>
          <w:p>
            <w:pPr>
              <w:spacing w:before="144" w:beforeLines="60" w:after="144" w:afterLines="60" w:line="276" w:lineRule="auto"/>
              <w:rPr>
                <w:rFonts w:hint="eastAsia" w:ascii="Arial" w:hAnsi="Arial" w:eastAsia="Times New Roman" w:cs="Arial"/>
                <w:bCs/>
                <w:color w:val="000000"/>
                <w:sz w:val="20"/>
                <w:szCs w:val="20"/>
              </w:rPr>
            </w:pPr>
            <w:r>
              <w:rPr>
                <w:rFonts w:hint="eastAsia" w:ascii="Arial" w:hAnsi="Arial" w:eastAsia="Times New Roman" w:cs="Arial"/>
                <w:bCs/>
                <w:color w:val="000000"/>
                <w:sz w:val="20"/>
                <w:szCs w:val="20"/>
              </w:rPr>
              <w:t>(b)</w:t>
            </w:r>
          </w:p>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AS 4773.1 and AS 4773.2.</w:t>
            </w:r>
          </w:p>
        </w:tc>
        <w:tc>
          <w:tcPr>
            <w:tcW w:w="5812" w:type="dxa"/>
            <w:shd w:val="clear" w:color="auto" w:fill="auto"/>
          </w:tcPr>
          <w:p>
            <w:pPr>
              <w:spacing w:before="144" w:beforeLines="60" w:after="144" w:afterLines="60" w:line="276" w:lineRule="auto"/>
              <w:rPr>
                <w:rFonts w:hint="eastAsia"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Min um of Comprehensive strength 54 Mpa</w:t>
            </w:r>
          </w:p>
          <w:p>
            <w:pPr>
              <w:spacing w:before="144" w:beforeLines="60" w:after="144" w:afterLines="60" w:line="276" w:lineRule="auto"/>
              <w:rPr>
                <w:rFonts w:hint="default" w:ascii="Arial" w:hAnsi="Arial" w:eastAsia="宋体" w:cs="Arial"/>
                <w:bCs/>
                <w:color w:val="000000"/>
                <w:sz w:val="20"/>
                <w:szCs w:val="2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Moisture Barrier</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 building is to be constructed to provide resistance to moisture from the outside and moisture rising from the ground.</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default" w:ascii="Arial" w:hAnsi="Arial" w:eastAsia="宋体" w:cs="Arial"/>
                <w:bCs/>
                <w:color w:val="000000"/>
                <w:sz w:val="20"/>
                <w:szCs w:val="20"/>
                <w:lang w:val="en-US" w:eastAsia="zh-CN"/>
              </w:rPr>
              <w:t xml:space="preserve">A waterproof coating material must be applied to all external single skin masonry walls </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Framing/Structure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Framing/Structure</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Framing</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Diagrams depicting framing members and associated terminology used to describe them are set out in Figures H1D6c, H1D6d and H1D6e, and in most cases are applicable for both steel and timber frame members.</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AS 1684 timber frame manual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timber</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Builder to supply manufacture truss layout to this office for approval prior construction truss design  must be accordance with AS1720and AS1684</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Roof and Wall Cladding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Roof and wall cladding</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5"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Roof and wall cladding</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Roof tiles and hip, ridge, barge and capping tiles must be fixed in accordance with Table 7.3.2 and Figure 7.3.2a, Figure 7.3.2b, Figure 7.3.2c, Figure 7.3.2d and Figure 7.3.2e.</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Trussed roof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5"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Tile </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Concrete roof tile  22.5 pitch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Glazing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Glazing</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Glazing</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Glazing used in buildings must comply with the following:Glazing used in the perimeter of buildings and supported on all sides must comply with the appropriate provisions listed in 8.3.3.Glazing used in areas where the potential for human impact could occur must comply with the appropriate provisions listed in Part 8.4.For 3 mm monolithic annealed glass, the maximum area must not be more than 0.85 m2.</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Width50mm height 60mm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宋体" w:cs="Arial"/>
                <w:bCs/>
                <w:color w:val="000000"/>
                <w:sz w:val="20"/>
                <w:szCs w:val="20"/>
                <w:lang w:val="en-US" w:eastAsia="zh-CN"/>
              </w:rPr>
              <w:t>Aluminum windows with 1300x10mm timber reviewed ith 4mm glass</w:t>
            </w:r>
          </w:p>
        </w:tc>
        <w:tc>
          <w:tcPr>
            <w:tcW w:w="5812" w:type="dxa"/>
            <w:shd w:val="clear" w:color="auto" w:fill="auto"/>
          </w:tcPr>
          <w:p>
            <w:pPr>
              <w:spacing w:before="144" w:beforeLines="60" w:after="144" w:afterLines="60" w:line="276" w:lineRule="auto"/>
              <w:rPr>
                <w:rFonts w:hint="eastAsia"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Low-E glazing </w:t>
            </w:r>
          </w:p>
          <w:p>
            <w:pPr>
              <w:spacing w:before="144" w:beforeLines="60" w:after="144" w:afterLines="60" w:line="276" w:lineRule="auto"/>
              <w:rPr>
                <w:rFonts w:hint="eastAsia"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Double glazing </w:t>
            </w:r>
          </w:p>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Stain glazing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Fire Safety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Fire Safety</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Fire Safety</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Where a wall within a specified distance is required to comply with 9.2.3, only that part of the wall (including any openings) within the specified distance need be constructed in that manner (see Figure 9.2.2a, Figure 9.2.2b and Figure 9.2.2c).</w:t>
            </w:r>
          </w:p>
        </w:tc>
        <w:tc>
          <w:tcPr>
            <w:tcW w:w="5812" w:type="dxa"/>
            <w:shd w:val="clear" w:color="auto" w:fill="auto"/>
          </w:tcPr>
          <w:p>
            <w:pPr>
              <w:spacing w:before="144" w:beforeLines="60" w:after="144" w:afterLines="60" w:line="276" w:lineRule="auto"/>
              <w:rPr>
                <w:rFonts w:hint="eastAsia"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Smoke detected to AS3786 </w:t>
            </w:r>
          </w:p>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Multi-point connected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Cs/>
                <w:color w:val="000000"/>
                <w:sz w:val="20"/>
                <w:szCs w:val="20"/>
              </w:rPr>
            </w:pP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An external wall of a Class 1 building, and any openings in that wall, must comply with 9.2.3 if the wall is less than—900 mm from an allotment boundary other than the boundary adjoining a road alignment or other public space; or1.8 m from another building on the same allotment other than a Class 10 building associated with the Class 1 building or a detached part of the same Class 1 building.</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Cs/>
                <w:color w:val="000000"/>
                <w:sz w:val="20"/>
                <w:szCs w:val="20"/>
              </w:rPr>
            </w:pP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Where the distance measured is between attached or detached buildings of different heights, the distance must be taken from the external wall with the highest elevation measured at right angles to a point that intersects the nearest part of a vertical projection above the adjacent building, excluding any eave overhang (see Figure 9.2.2d and Figure 9.2.2e).</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Access/Stairs/Lifts/Ramps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Access/Stairs/Lifts/Ramps</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Access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Ramps </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have a gradient not steeper than 1:8;</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Ancillary Provisions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Ancillary Provisions</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Door pull handle </w:t>
            </w:r>
          </w:p>
        </w:tc>
        <w:tc>
          <w:tcPr>
            <w:tcW w:w="5528" w:type="dxa"/>
            <w:gridSpan w:val="2"/>
            <w:shd w:val="clear" w:color="auto" w:fill="auto"/>
          </w:tcPr>
          <w:p>
            <w:pPr>
              <w:spacing w:before="144" w:beforeLines="60" w:after="144" w:afterLines="60" w:line="276" w:lineRule="auto"/>
              <w:rPr>
                <w:rFonts w:hint="eastAsia" w:ascii="Arial" w:hAnsi="Arial" w:eastAsia="Times New Roman" w:cs="Arial"/>
                <w:bCs/>
                <w:color w:val="000000"/>
                <w:sz w:val="20"/>
                <w:szCs w:val="20"/>
              </w:rPr>
            </w:pPr>
            <w:r>
              <w:rPr>
                <w:rFonts w:hint="eastAsia" w:ascii="Arial" w:hAnsi="Arial" w:eastAsia="Times New Roman" w:cs="Arial"/>
                <w:bCs/>
                <w:color w:val="000000"/>
                <w:sz w:val="20"/>
                <w:szCs w:val="20"/>
              </w:rPr>
              <w:t>be such that the hand of a person who cannot grip will not slip from the handle during the operation of the latch; and</w:t>
            </w:r>
          </w:p>
          <w:p>
            <w:pPr>
              <w:spacing w:before="144" w:beforeLines="60" w:after="144" w:afterLines="60" w:line="276" w:lineRule="auto"/>
              <w:rPr>
                <w:rFonts w:hint="eastAsia" w:ascii="Arial" w:hAnsi="Arial" w:eastAsia="Times New Roman" w:cs="Arial"/>
                <w:bCs/>
                <w:color w:val="000000"/>
                <w:sz w:val="20"/>
                <w:szCs w:val="20"/>
              </w:rPr>
            </w:pPr>
          </w:p>
          <w:p>
            <w:pPr>
              <w:spacing w:before="144" w:beforeLines="60" w:after="144" w:afterLines="60" w:line="276" w:lineRule="auto"/>
              <w:rPr>
                <w:rFonts w:hint="eastAsia" w:ascii="Arial" w:hAnsi="Arial" w:eastAsia="Times New Roman" w:cs="Arial"/>
                <w:bCs/>
                <w:color w:val="000000"/>
                <w:sz w:val="20"/>
                <w:szCs w:val="20"/>
              </w:rPr>
            </w:pPr>
            <w:r>
              <w:rPr>
                <w:rFonts w:hint="eastAsia" w:ascii="Arial" w:hAnsi="Arial" w:eastAsia="Times New Roman" w:cs="Arial"/>
                <w:bCs/>
                <w:color w:val="000000"/>
                <w:sz w:val="20"/>
                <w:szCs w:val="20"/>
              </w:rPr>
              <w:t>(B)</w:t>
            </w:r>
          </w:p>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have a clearance between the handle and the back plate or door face at the centre grip section of the handle of not less than 35 mm and not more than 45 mm</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To be set at 55mm from the edge of door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Lift over hinges </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 xml:space="preserve"> it is suitable to place a basin within the 1.2 m clear space within a sanitary compartment.</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Distance to pan 1.2m or greater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Main hole </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PVC-U pipes and fittings (plain and structured wall) for sewer, drain, waste and vent applications above ground or below ground and is intended to be used where the pipeline is operating under gravity flow and the operating pressure is low.</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Subject to the structure of roof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Energy Efficiency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Energy Efficiency</w:t>
            </w:r>
          </w:p>
        </w:tc>
        <w:tc>
          <w:tcPr>
            <w:tcW w:w="5528" w:type="dxa"/>
            <w:gridSpan w:val="2"/>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Building fabric thermal insulation</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abuts or overlaps adjoining insulation other than at supporting members such as columns, studs, noggings, joists, furring channels and the like where the insulation must butt against the member; andforms a continuous barrier with ceilings, walls, bulkheads, floors or the like that inherently contribute to the thermal barrier; anddoes not affect the safe or effective operation of a domestic service or fitting.</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Heating and cooling ducked work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宋体" w:cs="Arial"/>
                <w:bCs/>
                <w:color w:val="000000"/>
                <w:sz w:val="20"/>
                <w:szCs w:val="20"/>
                <w:lang w:val="en-US" w:eastAsia="zh-CN"/>
              </w:rPr>
              <w:t>Celling fan</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Ceiling fans must be installed in accordance with Table 13.5.2 in—climate zones 1, 2 and 3; andclimate zone 5 in New South Wales and Queensland.</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Fans in all bedrooms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Roof ventilator</w:t>
            </w:r>
          </w:p>
        </w:tc>
        <w:tc>
          <w:tcPr>
            <w:tcW w:w="5528" w:type="dxa"/>
            <w:gridSpan w:val="2"/>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AS3959-2009</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To be installed as requirement and colour matched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Health and Safety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4" w:hRule="atLeast"/>
        </w:trPr>
        <w:tc>
          <w:tcPr>
            <w:tcW w:w="14087" w:type="dxa"/>
            <w:gridSpan w:val="4"/>
            <w:shd w:val="clear" w:color="auto" w:fill="auto"/>
          </w:tcPr>
          <w:p>
            <w:pPr>
              <w:pStyle w:val="2"/>
              <w:jc w:val="both"/>
              <w:rPr>
                <w:lang w:val="en-AU"/>
              </w:rPr>
            </w:pPr>
            <w:r>
              <w:rPr>
                <w:lang w:val="en-AU"/>
              </w:rPr>
              <w:t>Field Standard Safety Clothing and Equipment Policy</w:t>
            </w:r>
          </w:p>
          <w:p>
            <w:pPr>
              <w:rPr>
                <w:lang w:val="en-AU"/>
              </w:rPr>
            </w:pPr>
            <w:r>
              <w:rPr>
                <w:lang w:val="en-AU"/>
              </w:rPr>
              <w:t>Cascade Peak Construction puts the safety of its workers before everything else. All workers, therefore, are expected to wear the following safety clothing and have the following equipment within easy reach depending on where they are.</w:t>
            </w:r>
          </w:p>
          <w:p>
            <w:pPr>
              <w:pStyle w:val="2"/>
              <w:jc w:val="both"/>
              <w:rPr>
                <w:lang w:val="en-AU"/>
              </w:rPr>
            </w:pPr>
            <w:r>
              <w:rPr>
                <w:lang w:val="en-AU"/>
              </w:rPr>
              <w:t>Field Standard Safety Clothing and Equipment Procedures</w:t>
            </w:r>
          </w:p>
          <w:p>
            <w:pPr>
              <w:rPr>
                <w:lang w:val="en-AU"/>
              </w:rPr>
            </w:pPr>
            <w:r>
              <w:rPr>
                <w:lang w:val="en-AU"/>
              </w:rPr>
              <w:t>All workers must wear the following safety clothing and have the following equipment within easy reach:</w:t>
            </w:r>
          </w:p>
          <w:p>
            <w:pPr>
              <w:pStyle w:val="3"/>
            </w:pPr>
            <w:r>
              <w:t>All Tasks</w:t>
            </w:r>
          </w:p>
          <w:p>
            <w:pPr>
              <w:pStyle w:val="14"/>
              <w:numPr>
                <w:ilvl w:val="0"/>
                <w:numId w:val="1"/>
              </w:numPr>
              <w:contextualSpacing w:val="0"/>
            </w:pPr>
            <w:r>
              <w:t>Steel Cap Footwear (boots) – at discretion of safety officer</w:t>
            </w:r>
          </w:p>
          <w:p>
            <w:pPr>
              <w:pStyle w:val="14"/>
              <w:numPr>
                <w:ilvl w:val="0"/>
                <w:numId w:val="1"/>
              </w:numPr>
              <w:contextualSpacing w:val="0"/>
            </w:pPr>
            <w:r>
              <w:t>Wide Brim Hat</w:t>
            </w:r>
          </w:p>
          <w:p>
            <w:pPr>
              <w:pStyle w:val="14"/>
              <w:numPr>
                <w:ilvl w:val="0"/>
                <w:numId w:val="1"/>
              </w:numPr>
              <w:contextualSpacing w:val="0"/>
            </w:pPr>
            <w:r>
              <w:t>UV protection sunscreen (supplied)</w:t>
            </w:r>
          </w:p>
          <w:p>
            <w:pPr>
              <w:pStyle w:val="14"/>
              <w:numPr>
                <w:ilvl w:val="0"/>
                <w:numId w:val="1"/>
              </w:numPr>
              <w:contextualSpacing w:val="0"/>
            </w:pPr>
            <w:r>
              <w:t>Long sleeve shirts buttoned or affixed at wrist.</w:t>
            </w:r>
          </w:p>
          <w:p>
            <w:pPr>
              <w:pStyle w:val="14"/>
              <w:numPr>
                <w:ilvl w:val="0"/>
                <w:numId w:val="1"/>
              </w:numPr>
              <w:contextualSpacing w:val="0"/>
            </w:pPr>
            <w:r>
              <w:t xml:space="preserve">Collared shirts </w:t>
            </w:r>
          </w:p>
          <w:p>
            <w:pPr>
              <w:pStyle w:val="3"/>
            </w:pPr>
            <w:r>
              <w:t>Rural Work – Field</w:t>
            </w:r>
          </w:p>
          <w:p>
            <w:pPr>
              <w:pStyle w:val="14"/>
              <w:numPr>
                <w:ilvl w:val="0"/>
                <w:numId w:val="2"/>
              </w:numPr>
              <w:contextualSpacing w:val="0"/>
            </w:pPr>
            <w:r>
              <w:t>Long Sleeved Shirts</w:t>
            </w:r>
          </w:p>
          <w:p>
            <w:pPr>
              <w:pStyle w:val="14"/>
              <w:numPr>
                <w:ilvl w:val="0"/>
                <w:numId w:val="2"/>
              </w:numPr>
              <w:contextualSpacing w:val="0"/>
            </w:pPr>
            <w:r>
              <w:t>Long Pants</w:t>
            </w:r>
          </w:p>
          <w:p>
            <w:pPr>
              <w:pStyle w:val="14"/>
              <w:numPr>
                <w:ilvl w:val="0"/>
                <w:numId w:val="2"/>
              </w:numPr>
              <w:contextualSpacing w:val="0"/>
            </w:pPr>
            <w:r>
              <w:t>Gaiters where suitable</w:t>
            </w:r>
          </w:p>
          <w:p>
            <w:pPr>
              <w:pStyle w:val="3"/>
            </w:pPr>
            <w:r>
              <w:t>Roads and Areas around Natural Rock Faces – Field</w:t>
            </w:r>
          </w:p>
          <w:p>
            <w:pPr>
              <w:pStyle w:val="14"/>
              <w:numPr>
                <w:ilvl w:val="0"/>
                <w:numId w:val="2"/>
              </w:numPr>
              <w:contextualSpacing w:val="0"/>
            </w:pPr>
            <w:r>
              <w:t>Hard Hats and highly visible (orange) vests to be worn.</w:t>
            </w:r>
          </w:p>
          <w:p>
            <w:pPr>
              <w:pStyle w:val="3"/>
            </w:pPr>
            <w:r>
              <w:t>Remote Projects</w:t>
            </w:r>
          </w:p>
          <w:p>
            <w:pPr>
              <w:pStyle w:val="14"/>
              <w:numPr>
                <w:ilvl w:val="0"/>
                <w:numId w:val="3"/>
              </w:numPr>
              <w:contextualSpacing w:val="0"/>
            </w:pPr>
            <w:r>
              <w:t>EPIRB (distress radio beacon) to be carried by Party Member</w:t>
            </w:r>
          </w:p>
          <w:p>
            <w:pPr>
              <w:pStyle w:val="14"/>
              <w:numPr>
                <w:ilvl w:val="0"/>
                <w:numId w:val="3"/>
              </w:numPr>
              <w:contextualSpacing w:val="0"/>
            </w:pPr>
            <w:r>
              <w:t>Safety Equipment</w:t>
            </w:r>
          </w:p>
          <w:p>
            <w:pPr>
              <w:pStyle w:val="3"/>
            </w:pPr>
            <w:r>
              <w:t>Office</w:t>
            </w:r>
          </w:p>
          <w:p>
            <w:pPr>
              <w:pStyle w:val="14"/>
              <w:numPr>
                <w:ilvl w:val="0"/>
                <w:numId w:val="2"/>
              </w:numPr>
              <w:contextualSpacing w:val="0"/>
            </w:pPr>
            <w:r>
              <w:t>Fire Extinguishers as required by legislation</w:t>
            </w:r>
          </w:p>
          <w:p>
            <w:pPr>
              <w:pStyle w:val="14"/>
              <w:numPr>
                <w:ilvl w:val="0"/>
                <w:numId w:val="2"/>
              </w:numPr>
              <w:contextualSpacing w:val="0"/>
            </w:pPr>
            <w:r>
              <w:t>Comprehensive First Aid Kits</w:t>
            </w:r>
          </w:p>
          <w:p>
            <w:pPr>
              <w:pStyle w:val="3"/>
            </w:pPr>
            <w:r>
              <w:t>Depot</w:t>
            </w:r>
          </w:p>
          <w:p>
            <w:pPr>
              <w:pStyle w:val="14"/>
              <w:numPr>
                <w:ilvl w:val="0"/>
                <w:numId w:val="2"/>
              </w:numPr>
              <w:contextualSpacing w:val="0"/>
            </w:pPr>
            <w:r>
              <w:t>Fire Extinguishers</w:t>
            </w:r>
          </w:p>
          <w:p>
            <w:pPr>
              <w:pStyle w:val="14"/>
              <w:numPr>
                <w:ilvl w:val="0"/>
                <w:numId w:val="2"/>
              </w:numPr>
              <w:contextualSpacing w:val="0"/>
            </w:pPr>
            <w:r>
              <w:t>Comprehensive First Aid Kit</w:t>
            </w:r>
          </w:p>
          <w:p>
            <w:pPr>
              <w:pStyle w:val="14"/>
              <w:numPr>
                <w:ilvl w:val="0"/>
                <w:numId w:val="2"/>
              </w:numPr>
              <w:contextualSpacing w:val="0"/>
            </w:pPr>
            <w:r>
              <w:t>Surveyor on Road Signs</w:t>
            </w:r>
          </w:p>
          <w:p>
            <w:pPr>
              <w:pStyle w:val="3"/>
            </w:pPr>
            <w:r>
              <w:t>All Vehicles</w:t>
            </w:r>
          </w:p>
          <w:p>
            <w:pPr>
              <w:pStyle w:val="14"/>
              <w:numPr>
                <w:ilvl w:val="0"/>
                <w:numId w:val="2"/>
              </w:numPr>
              <w:contextualSpacing w:val="0"/>
            </w:pPr>
            <w:r>
              <w:t>Comprehensive Fire Extinguishers</w:t>
            </w:r>
          </w:p>
          <w:p>
            <w:pPr>
              <w:pStyle w:val="14"/>
              <w:numPr>
                <w:ilvl w:val="0"/>
                <w:numId w:val="2"/>
              </w:numPr>
              <w:contextualSpacing w:val="0"/>
            </w:pPr>
            <w:r>
              <w:t>High Visibility orange jackets</w:t>
            </w:r>
          </w:p>
          <w:p>
            <w:pPr>
              <w:pStyle w:val="3"/>
            </w:pPr>
            <w:r>
              <w:t>Vehicles Working on Commercial or Wilderness Sites</w:t>
            </w:r>
          </w:p>
          <w:p>
            <w:pPr>
              <w:pStyle w:val="14"/>
              <w:numPr>
                <w:ilvl w:val="0"/>
                <w:numId w:val="2"/>
              </w:numPr>
              <w:contextualSpacing w:val="0"/>
            </w:pPr>
            <w:r>
              <w:t>Fire Extinguishers</w:t>
            </w:r>
          </w:p>
          <w:p>
            <w:pPr>
              <w:pStyle w:val="14"/>
              <w:numPr>
                <w:ilvl w:val="0"/>
                <w:numId w:val="2"/>
              </w:numPr>
              <w:contextualSpacing w:val="0"/>
            </w:pPr>
            <w:r>
              <w:t>Comprehensive First Aid Kit</w:t>
            </w:r>
          </w:p>
          <w:p>
            <w:pPr>
              <w:pStyle w:val="14"/>
              <w:numPr>
                <w:ilvl w:val="0"/>
                <w:numId w:val="2"/>
              </w:numPr>
              <w:contextualSpacing w:val="0"/>
            </w:pPr>
            <w:r>
              <w:t>High visibility orange jackets</w:t>
            </w:r>
          </w:p>
          <w:p>
            <w:pPr>
              <w:pStyle w:val="14"/>
              <w:numPr>
                <w:ilvl w:val="0"/>
                <w:numId w:val="2"/>
              </w:numPr>
              <w:contextualSpacing w:val="0"/>
            </w:pPr>
            <w:r>
              <w:t>EPIRB</w:t>
            </w:r>
          </w:p>
          <w:p>
            <w:pPr>
              <w:pStyle w:val="14"/>
              <w:numPr>
                <w:ilvl w:val="0"/>
                <w:numId w:val="2"/>
              </w:numPr>
              <w:contextualSpacing w:val="0"/>
            </w:pPr>
            <w:r>
              <w:t>Hard Hats</w:t>
            </w:r>
          </w:p>
          <w:p>
            <w:pPr>
              <w:pStyle w:val="14"/>
              <w:numPr>
                <w:ilvl w:val="0"/>
                <w:numId w:val="2"/>
              </w:numPr>
              <w:contextualSpacing w:val="0"/>
            </w:pPr>
            <w:r>
              <w:t>High Set Warning lights (mining &amp; construction only)</w:t>
            </w:r>
          </w:p>
          <w:p>
            <w:pPr>
              <w:pStyle w:val="14"/>
              <w:numPr>
                <w:ilvl w:val="0"/>
                <w:numId w:val="2"/>
              </w:numPr>
              <w:contextualSpacing w:val="0"/>
            </w:pPr>
            <w:r>
              <w:t>High set orange flashing light (mining &amp; construction only)</w:t>
            </w:r>
          </w:p>
          <w:p>
            <w:pPr>
              <w:pStyle w:val="14"/>
              <w:numPr>
                <w:ilvl w:val="0"/>
                <w:numId w:val="2"/>
              </w:numPr>
              <w:contextualSpacing w:val="0"/>
            </w:pPr>
            <w:r>
              <w:t>Surveyor on Road signs where required</w:t>
            </w:r>
          </w:p>
          <w:p>
            <w:pPr>
              <w:spacing w:before="144" w:beforeLines="60" w:after="144" w:afterLines="60" w:line="276" w:lineRule="auto"/>
              <w:rPr>
                <w:rFonts w:ascii="Arial" w:hAnsi="Arial" w:eastAsia="Times New Roman" w:cs="Arial"/>
                <w:bCs/>
                <w:color w:val="000000"/>
                <w:sz w:val="20"/>
                <w:szCs w:val="20"/>
              </w:rPr>
            </w:pPr>
          </w:p>
        </w:tc>
      </w:tr>
    </w:tbl>
    <w:p>
      <w:pPr>
        <w:rPr>
          <w:sz w:val="12"/>
          <w:szCs w:val="12"/>
        </w:rPr>
      </w:pPr>
    </w:p>
    <w:tbl>
      <w:tblPr>
        <w:tblStyle w:val="7"/>
        <w:tblW w:w="14087" w:type="dxa"/>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65"/>
        <w:gridCol w:w="2693"/>
        <w:gridCol w:w="2410"/>
        <w:gridCol w:w="2835"/>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14087" w:type="dxa"/>
            <w:gridSpan w:val="5"/>
            <w:shd w:val="clear" w:color="auto" w:fill="D8D8D8" w:themeFill="background1" w:themeFillShade="D9"/>
            <w:vAlign w:val="center"/>
          </w:tcPr>
          <w:p>
            <w:pPr>
              <w:spacing w:before="144" w:beforeLines="60" w:after="144" w:afterLines="60" w:line="276" w:lineRule="auto"/>
              <w:rPr>
                <w:rFonts w:ascii="Arial" w:hAnsi="Arial" w:eastAsia="Times New Roman" w:cs="Arial"/>
                <w:b/>
                <w:smallCaps/>
                <w:color w:val="000000"/>
                <w:sz w:val="20"/>
                <w:szCs w:val="20"/>
              </w:rPr>
            </w:pPr>
            <w:r>
              <w:rPr>
                <w:rFonts w:ascii="Arial Narrow" w:hAnsi="Arial Narrow" w:eastAsia="Times New Roman" w:cs="Times New Roman"/>
                <w:b/>
                <w:bCs/>
              </w:rPr>
              <w:t>Issues to be addressed and consultation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165" w:type="dxa"/>
            <w:shd w:val="clear" w:color="auto" w:fill="auto"/>
            <w:vAlign w:val="center"/>
          </w:tcPr>
          <w:p>
            <w:pPr>
              <w:spacing w:after="0" w:line="240" w:lineRule="auto"/>
              <w:jc w:val="center"/>
              <w:rPr>
                <w:rFonts w:ascii="Arial Narrow" w:hAnsi="Arial Narrow" w:eastAsia="Times New Roman" w:cs="Times New Roman"/>
                <w:b/>
                <w:bCs/>
              </w:rPr>
            </w:pPr>
            <w:r>
              <w:rPr>
                <w:rFonts w:ascii="Arial Narrow" w:hAnsi="Arial Narrow" w:eastAsia="Times New Roman" w:cs="Times New Roman"/>
                <w:b/>
                <w:bCs/>
              </w:rPr>
              <w:t>Issue</w:t>
            </w:r>
          </w:p>
        </w:tc>
        <w:tc>
          <w:tcPr>
            <w:tcW w:w="2693" w:type="dxa"/>
            <w:shd w:val="clear" w:color="auto" w:fill="auto"/>
            <w:vAlign w:val="center"/>
          </w:tcPr>
          <w:p>
            <w:pPr>
              <w:spacing w:after="0" w:line="240" w:lineRule="auto"/>
              <w:jc w:val="center"/>
              <w:rPr>
                <w:rFonts w:ascii="Arial Narrow" w:hAnsi="Arial Narrow" w:eastAsia="Times New Roman" w:cs="Times New Roman"/>
                <w:b/>
                <w:bCs/>
              </w:rPr>
            </w:pPr>
            <w:r>
              <w:rPr>
                <w:rFonts w:ascii="Arial Narrow" w:hAnsi="Arial Narrow" w:eastAsia="Times New Roman" w:cs="Times New Roman"/>
                <w:b/>
                <w:bCs/>
              </w:rPr>
              <w:t>Who to consult</w:t>
            </w:r>
          </w:p>
        </w:tc>
        <w:tc>
          <w:tcPr>
            <w:tcW w:w="2410" w:type="dxa"/>
            <w:shd w:val="clear" w:color="auto" w:fill="auto"/>
            <w:vAlign w:val="center"/>
          </w:tcPr>
          <w:p>
            <w:pPr>
              <w:spacing w:after="0" w:line="240" w:lineRule="auto"/>
              <w:jc w:val="center"/>
              <w:rPr>
                <w:rFonts w:ascii="Arial Narrow" w:hAnsi="Arial Narrow" w:eastAsia="Times New Roman" w:cs="Times New Roman"/>
                <w:b/>
                <w:bCs/>
              </w:rPr>
            </w:pPr>
            <w:r>
              <w:rPr>
                <w:rFonts w:ascii="Arial Narrow" w:hAnsi="Arial Narrow" w:eastAsia="Times New Roman" w:cs="Times New Roman"/>
                <w:b/>
                <w:bCs/>
              </w:rPr>
              <w:t>Improvements for consideration</w:t>
            </w:r>
          </w:p>
        </w:tc>
        <w:tc>
          <w:tcPr>
            <w:tcW w:w="2835" w:type="dxa"/>
            <w:shd w:val="clear" w:color="auto" w:fill="auto"/>
            <w:vAlign w:val="center"/>
          </w:tcPr>
          <w:p>
            <w:pPr>
              <w:spacing w:after="0" w:line="240" w:lineRule="auto"/>
              <w:jc w:val="center"/>
              <w:rPr>
                <w:rFonts w:ascii="Arial Narrow" w:hAnsi="Arial Narrow" w:eastAsia="Times New Roman" w:cs="Times New Roman"/>
                <w:b/>
                <w:bCs/>
              </w:rPr>
            </w:pPr>
            <w:r>
              <w:rPr>
                <w:rFonts w:ascii="Arial Narrow" w:hAnsi="Arial Narrow" w:eastAsia="Times New Roman" w:cs="Times New Roman"/>
                <w:b/>
                <w:bCs/>
              </w:rPr>
              <w:t>Feedback following consideration</w:t>
            </w:r>
          </w:p>
        </w:tc>
        <w:tc>
          <w:tcPr>
            <w:tcW w:w="1984" w:type="dxa"/>
            <w:shd w:val="clear" w:color="auto" w:fill="auto"/>
            <w:vAlign w:val="center"/>
          </w:tcPr>
          <w:p>
            <w:pPr>
              <w:spacing w:after="0" w:line="240" w:lineRule="auto"/>
              <w:jc w:val="center"/>
              <w:rPr>
                <w:rFonts w:ascii="Arial Narrow" w:hAnsi="Arial Narrow" w:eastAsia="Times New Roman" w:cs="Times New Roman"/>
                <w:b/>
                <w:bCs/>
              </w:rPr>
            </w:pPr>
            <w:r>
              <w:rPr>
                <w:rFonts w:ascii="Arial Narrow" w:hAnsi="Arial Narrow" w:eastAsia="Times New Roman" w:cs="Times New Roman"/>
                <w:b/>
                <w:bCs/>
              </w:rPr>
              <w:t>Supporting Resources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16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 xml:space="preserve">Safety </w:t>
            </w:r>
          </w:p>
        </w:tc>
        <w:tc>
          <w:tcPr>
            <w:tcW w:w="2693"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Onsite manager or supervisor</w:t>
            </w:r>
          </w:p>
        </w:tc>
        <w:tc>
          <w:tcPr>
            <w:tcW w:w="2410"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By email</w:t>
            </w:r>
          </w:p>
        </w:tc>
        <w:tc>
          <w:tcPr>
            <w:tcW w:w="283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By email</w:t>
            </w:r>
          </w:p>
        </w:tc>
        <w:tc>
          <w:tcPr>
            <w:tcW w:w="1984"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 xml:space="preserve">Records kept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16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 xml:space="preserve">Health </w:t>
            </w:r>
          </w:p>
        </w:tc>
        <w:tc>
          <w:tcPr>
            <w:tcW w:w="2693"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Onsite manager or supervisor</w:t>
            </w:r>
          </w:p>
        </w:tc>
        <w:tc>
          <w:tcPr>
            <w:tcW w:w="2410"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By email</w:t>
            </w:r>
          </w:p>
        </w:tc>
        <w:tc>
          <w:tcPr>
            <w:tcW w:w="283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By email</w:t>
            </w:r>
          </w:p>
        </w:tc>
        <w:tc>
          <w:tcPr>
            <w:tcW w:w="1984"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 xml:space="preserve">Records kept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16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 xml:space="preserve">Quality of project </w:t>
            </w:r>
          </w:p>
        </w:tc>
        <w:tc>
          <w:tcPr>
            <w:tcW w:w="2693" w:type="dxa"/>
            <w:shd w:val="clear" w:color="auto" w:fill="FFFFFF"/>
          </w:tcPr>
          <w:p>
            <w:pPr>
              <w:spacing w:after="0" w:line="240" w:lineRule="auto"/>
              <w:rPr>
                <w:rFonts w:hint="default" w:ascii="Arial" w:hAnsi="Arial" w:eastAsia="Times New Roman" w:cs="Arial"/>
                <w:bCs/>
                <w:color w:val="44546A" w:themeColor="text2"/>
                <w:sz w:val="20"/>
                <w:szCs w:val="20"/>
                <w:lang w:val="en-US"/>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Builder or rectifier</w:t>
            </w:r>
          </w:p>
        </w:tc>
        <w:tc>
          <w:tcPr>
            <w:tcW w:w="2410"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By email</w:t>
            </w:r>
          </w:p>
        </w:tc>
        <w:tc>
          <w:tcPr>
            <w:tcW w:w="283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By email</w:t>
            </w:r>
          </w:p>
        </w:tc>
        <w:tc>
          <w:tcPr>
            <w:tcW w:w="1984"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 xml:space="preserve">Records kept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16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693"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410"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83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1984"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16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693"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410"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83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1984"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16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693"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410"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83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1984"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85" w:hRule="atLeast"/>
        </w:trPr>
        <w:tc>
          <w:tcPr>
            <w:tcW w:w="416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693"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410"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83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1984"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r>
    </w:tbl>
    <w:p>
      <w:pPr>
        <w:spacing w:after="0" w:line="240" w:lineRule="auto"/>
        <w:rPr>
          <w:sz w:val="2"/>
          <w:szCs w:val="2"/>
        </w:rPr>
      </w:pPr>
    </w:p>
    <w:sectPr>
      <w:headerReference r:id="rId5" w:type="default"/>
      <w:footerReference r:id="rId7" w:type="default"/>
      <w:headerReference r:id="rId6" w:type="even"/>
      <w:footerReference r:id="rId8" w:type="even"/>
      <w:pgSz w:w="16838" w:h="11906" w:orient="landscape"/>
      <w:pgMar w:top="1440" w:right="1440" w:bottom="1440" w:left="1440" w:header="680" w:footer="680"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Calibri Light">
    <w:panose1 w:val="020F0302020204030204"/>
    <w:charset w:val="00"/>
    <w:family w:val="auto"/>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spacing w:after="0" w:line="240" w:lineRule="auto"/>
      <w:jc w:val="both"/>
      <w:rPr>
        <w:rFonts w:ascii="Arial" w:hAnsi="Arial" w:eastAsia="Times New Roman" w:cs="Arial"/>
        <w:b/>
        <w:sz w:val="16"/>
        <w:szCs w:val="16"/>
      </w:rPr>
    </w:pPr>
  </w:p>
  <w:p>
    <w:pPr>
      <w:pBdr>
        <w:top w:val="single" w:color="auto" w:sz="4" w:space="1"/>
      </w:pBdr>
      <w:spacing w:after="0" w:line="240" w:lineRule="auto"/>
      <w:jc w:val="both"/>
      <w:rPr>
        <w:rFonts w:ascii="Arial" w:hAnsi="Arial" w:eastAsia="Times New Roman" w:cs="Arial"/>
        <w:b/>
        <w:sz w:val="16"/>
        <w:szCs w:val="16"/>
      </w:rPr>
    </w:pPr>
    <w:r>
      <w:rPr>
        <w:rFonts w:ascii="Arial" w:hAnsi="Arial" w:eastAsia="Times New Roman" w:cs="Arial"/>
        <w:b/>
        <w:sz w:val="16"/>
        <w:szCs w:val="16"/>
      </w:rPr>
      <w:t>CSTC Pty Ltd_RTO#0699_</w:t>
    </w:r>
    <w:sdt>
      <w:sdtPr>
        <w:rPr>
          <w:rFonts w:ascii="Arial" w:hAnsi="Arial" w:eastAsia="Times New Roman"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eastAsia="Times New Roman" w:cs="Arial"/>
          <w:b/>
          <w:sz w:val="16"/>
          <w:szCs w:val="16"/>
        </w:rPr>
      </w:sdtEndPr>
      <w:sdtContent>
        <w:r>
          <w:rPr>
            <w:rFonts w:ascii="Arial" w:hAnsi="Arial" w:eastAsia="Times New Roman" w:cs="Arial"/>
            <w:b/>
            <w:sz w:val="16"/>
            <w:szCs w:val="16"/>
          </w:rPr>
          <w:t>v1-0_10/03/2023</w:t>
        </w:r>
      </w:sdtContent>
    </w:sdt>
    <w:r>
      <w:rPr>
        <w:rFonts w:ascii="Arial" w:hAnsi="Arial" w:eastAsia="Times New Roman" w:cs="Arial"/>
        <w:b/>
        <w:sz w:val="16"/>
        <w:szCs w:val="16"/>
      </w:rPr>
      <w:ptab w:relativeTo="margin" w:alignment="right" w:leader="none"/>
    </w:r>
    <w:sdt>
      <w:sdtPr>
        <w:rPr>
          <w:rFonts w:ascii="Arial" w:hAnsi="Arial" w:eastAsia="Times New Roman" w:cs="Arial"/>
          <w:b/>
          <w:sz w:val="16"/>
          <w:szCs w:val="16"/>
        </w:rPr>
        <w:id w:val="-358125695"/>
        <w:docPartObj>
          <w:docPartGallery w:val="autotext"/>
        </w:docPartObj>
      </w:sdtPr>
      <w:sdtEndPr>
        <w:rPr>
          <w:rFonts w:ascii="Arial" w:hAnsi="Arial" w:eastAsia="Times New Roman" w:cs="Arial"/>
          <w:b/>
          <w:sz w:val="16"/>
          <w:szCs w:val="16"/>
        </w:rPr>
      </w:sdtEndPr>
      <w:sdtContent>
        <w:sdt>
          <w:sdtPr>
            <w:rPr>
              <w:rFonts w:ascii="Arial" w:hAnsi="Arial" w:eastAsia="Times New Roman" w:cs="Arial"/>
              <w:b/>
              <w:sz w:val="16"/>
              <w:szCs w:val="16"/>
            </w:rPr>
            <w:id w:val="-255511779"/>
            <w:docPartObj>
              <w:docPartGallery w:val="autotext"/>
            </w:docPartObj>
          </w:sdtPr>
          <w:sdtEndPr>
            <w:rPr>
              <w:rFonts w:ascii="Arial" w:hAnsi="Arial" w:eastAsia="Times New Roman" w:cs="Arial"/>
              <w:b/>
              <w:sz w:val="16"/>
              <w:szCs w:val="16"/>
            </w:rPr>
          </w:sdtEndPr>
          <w:sdtContent>
            <w:r>
              <w:rPr>
                <w:rFonts w:ascii="Arial" w:hAnsi="Arial" w:eastAsia="Times New Roman" w:cs="Arial"/>
                <w:b/>
                <w:sz w:val="16"/>
                <w:szCs w:val="16"/>
              </w:rPr>
              <w:t xml:space="preserve">Page </w:t>
            </w:r>
            <w:r>
              <w:rPr>
                <w:rFonts w:ascii="Arial" w:hAnsi="Arial" w:eastAsia="Times New Roman" w:cs="Arial"/>
                <w:b/>
                <w:bCs/>
                <w:sz w:val="16"/>
                <w:szCs w:val="16"/>
              </w:rPr>
              <w:fldChar w:fldCharType="begin"/>
            </w:r>
            <w:r>
              <w:rPr>
                <w:rFonts w:ascii="Arial" w:hAnsi="Arial" w:eastAsia="Times New Roman" w:cs="Arial"/>
                <w:b/>
                <w:bCs/>
                <w:sz w:val="16"/>
                <w:szCs w:val="16"/>
              </w:rPr>
              <w:instrText xml:space="preserve"> PAGE </w:instrText>
            </w:r>
            <w:r>
              <w:rPr>
                <w:rFonts w:ascii="Arial" w:hAnsi="Arial" w:eastAsia="Times New Roman" w:cs="Arial"/>
                <w:b/>
                <w:bCs/>
                <w:sz w:val="16"/>
                <w:szCs w:val="16"/>
              </w:rPr>
              <w:fldChar w:fldCharType="separate"/>
            </w:r>
            <w:r>
              <w:rPr>
                <w:rFonts w:ascii="Arial" w:hAnsi="Arial" w:eastAsia="Times New Roman" w:cs="Arial"/>
                <w:b/>
                <w:bCs/>
                <w:sz w:val="16"/>
                <w:szCs w:val="16"/>
              </w:rPr>
              <w:t>1</w:t>
            </w:r>
            <w:r>
              <w:rPr>
                <w:rFonts w:ascii="Arial" w:hAnsi="Arial" w:eastAsia="Times New Roman" w:cs="Arial"/>
                <w:b/>
                <w:sz w:val="16"/>
                <w:szCs w:val="16"/>
              </w:rPr>
              <w:fldChar w:fldCharType="end"/>
            </w:r>
            <w:r>
              <w:rPr>
                <w:rFonts w:ascii="Arial" w:hAnsi="Arial" w:eastAsia="Times New Roman" w:cs="Arial"/>
                <w:b/>
                <w:sz w:val="16"/>
                <w:szCs w:val="16"/>
              </w:rPr>
              <w:t xml:space="preserve"> of </w:t>
            </w:r>
            <w:r>
              <w:rPr>
                <w:rFonts w:ascii="Arial" w:hAnsi="Arial" w:eastAsia="Times New Roman" w:cs="Arial"/>
                <w:b/>
                <w:bCs/>
                <w:sz w:val="16"/>
                <w:szCs w:val="16"/>
              </w:rPr>
              <w:fldChar w:fldCharType="begin"/>
            </w:r>
            <w:r>
              <w:rPr>
                <w:rFonts w:ascii="Arial" w:hAnsi="Arial" w:eastAsia="Times New Roman" w:cs="Arial"/>
                <w:b/>
                <w:bCs/>
                <w:sz w:val="16"/>
                <w:szCs w:val="16"/>
              </w:rPr>
              <w:instrText xml:space="preserve"> NUMPAGES  </w:instrText>
            </w:r>
            <w:r>
              <w:rPr>
                <w:rFonts w:ascii="Arial" w:hAnsi="Arial" w:eastAsia="Times New Roman" w:cs="Arial"/>
                <w:b/>
                <w:bCs/>
                <w:sz w:val="16"/>
                <w:szCs w:val="16"/>
              </w:rPr>
              <w:fldChar w:fldCharType="separate"/>
            </w:r>
            <w:r>
              <w:rPr>
                <w:rFonts w:ascii="Arial" w:hAnsi="Arial" w:eastAsia="Times New Roman" w:cs="Arial"/>
                <w:b/>
                <w:bCs/>
                <w:sz w:val="16"/>
                <w:szCs w:val="16"/>
              </w:rPr>
              <w:t>3</w:t>
            </w:r>
            <w:r>
              <w:rPr>
                <w:rFonts w:ascii="Arial" w:hAnsi="Arial" w:eastAsia="Times New Roman" w:cs="Arial"/>
                <w:b/>
                <w:sz w:val="16"/>
                <w:szCs w:val="16"/>
              </w:rPr>
              <w:fldChar w:fldCharType="end"/>
            </w:r>
          </w:sdtContent>
        </w:sdt>
      </w:sdtContent>
    </w:sdt>
    <w:r>
      <w:rPr>
        <w:rFonts w:ascii="Arial" w:hAnsi="Arial" w:eastAsia="Times New Roman"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spacing w:after="0" w:line="240" w:lineRule="auto"/>
      <w:jc w:val="both"/>
      <w:rPr>
        <w:rFonts w:ascii="Arial" w:hAnsi="Arial" w:eastAsia="Times New Roman" w:cs="Arial"/>
        <w:b/>
        <w:sz w:val="16"/>
        <w:szCs w:val="16"/>
      </w:rPr>
    </w:pPr>
  </w:p>
  <w:p>
    <w:pPr>
      <w:pBdr>
        <w:top w:val="single" w:color="auto" w:sz="4" w:space="1"/>
      </w:pBdr>
      <w:tabs>
        <w:tab w:val="right" w:pos="9026"/>
      </w:tabs>
      <w:spacing w:after="0" w:line="240" w:lineRule="auto"/>
      <w:jc w:val="both"/>
      <w:rPr>
        <w:rFonts w:ascii="Arial" w:hAnsi="Arial" w:eastAsia="Times New Roman" w:cs="Arial"/>
        <w:b/>
        <w:sz w:val="16"/>
        <w:szCs w:val="16"/>
      </w:rPr>
    </w:pPr>
    <w:sdt>
      <w:sdtPr>
        <w:rPr>
          <w:rFonts w:ascii="Arial" w:hAnsi="Arial" w:eastAsia="Times New Roman" w:cs="Arial"/>
          <w:b/>
          <w:sz w:val="16"/>
          <w:szCs w:val="16"/>
        </w:rPr>
        <w:id w:val="2052884856"/>
        <w:docPartObj>
          <w:docPartGallery w:val="autotext"/>
        </w:docPartObj>
      </w:sdtPr>
      <w:sdtEndPr>
        <w:rPr>
          <w:rFonts w:ascii="Arial" w:hAnsi="Arial" w:eastAsia="Times New Roman" w:cs="Arial"/>
          <w:b/>
          <w:sz w:val="16"/>
          <w:szCs w:val="16"/>
        </w:rPr>
      </w:sdtEndPr>
      <w:sdtContent>
        <w:sdt>
          <w:sdtPr>
            <w:rPr>
              <w:rFonts w:ascii="Arial" w:hAnsi="Arial" w:eastAsia="Times New Roman" w:cs="Arial"/>
              <w:b/>
              <w:sz w:val="16"/>
              <w:szCs w:val="16"/>
            </w:rPr>
            <w:id w:val="305601562"/>
            <w:docPartObj>
              <w:docPartGallery w:val="autotext"/>
            </w:docPartObj>
          </w:sdtPr>
          <w:sdtEndPr>
            <w:rPr>
              <w:rFonts w:ascii="Arial" w:hAnsi="Arial" w:eastAsia="Times New Roman" w:cs="Arial"/>
              <w:b/>
              <w:sz w:val="16"/>
              <w:szCs w:val="16"/>
            </w:rPr>
          </w:sdtEndPr>
          <w:sdtContent>
            <w:r>
              <w:rPr>
                <w:rFonts w:ascii="Arial" w:hAnsi="Arial" w:eastAsia="Times New Roman" w:cs="Arial"/>
                <w:b/>
                <w:sz w:val="16"/>
                <w:szCs w:val="16"/>
              </w:rPr>
              <w:t xml:space="preserve">Page </w:t>
            </w:r>
            <w:r>
              <w:rPr>
                <w:rFonts w:ascii="Arial" w:hAnsi="Arial" w:eastAsia="Times New Roman" w:cs="Arial"/>
                <w:b/>
                <w:bCs/>
                <w:sz w:val="16"/>
                <w:szCs w:val="16"/>
              </w:rPr>
              <w:fldChar w:fldCharType="begin"/>
            </w:r>
            <w:r>
              <w:rPr>
                <w:rFonts w:ascii="Arial" w:hAnsi="Arial" w:eastAsia="Times New Roman" w:cs="Arial"/>
                <w:b/>
                <w:bCs/>
                <w:sz w:val="16"/>
                <w:szCs w:val="16"/>
              </w:rPr>
              <w:instrText xml:space="preserve"> PAGE </w:instrText>
            </w:r>
            <w:r>
              <w:rPr>
                <w:rFonts w:ascii="Arial" w:hAnsi="Arial" w:eastAsia="Times New Roman" w:cs="Arial"/>
                <w:b/>
                <w:bCs/>
                <w:sz w:val="16"/>
                <w:szCs w:val="16"/>
              </w:rPr>
              <w:fldChar w:fldCharType="separate"/>
            </w:r>
            <w:r>
              <w:rPr>
                <w:rFonts w:ascii="Arial" w:hAnsi="Arial" w:eastAsia="Times New Roman" w:cs="Arial"/>
                <w:b/>
                <w:bCs/>
                <w:sz w:val="16"/>
                <w:szCs w:val="16"/>
              </w:rPr>
              <w:t>2</w:t>
            </w:r>
            <w:r>
              <w:rPr>
                <w:rFonts w:ascii="Arial" w:hAnsi="Arial" w:eastAsia="Times New Roman" w:cs="Arial"/>
                <w:b/>
                <w:sz w:val="16"/>
                <w:szCs w:val="16"/>
              </w:rPr>
              <w:fldChar w:fldCharType="end"/>
            </w:r>
            <w:r>
              <w:rPr>
                <w:rFonts w:ascii="Arial" w:hAnsi="Arial" w:eastAsia="Times New Roman" w:cs="Arial"/>
                <w:b/>
                <w:sz w:val="16"/>
                <w:szCs w:val="16"/>
              </w:rPr>
              <w:t xml:space="preserve"> of </w:t>
            </w:r>
            <w:r>
              <w:rPr>
                <w:rFonts w:ascii="Arial" w:hAnsi="Arial" w:eastAsia="Times New Roman" w:cs="Arial"/>
                <w:b/>
                <w:bCs/>
                <w:sz w:val="16"/>
                <w:szCs w:val="16"/>
              </w:rPr>
              <w:fldChar w:fldCharType="begin"/>
            </w:r>
            <w:r>
              <w:rPr>
                <w:rFonts w:ascii="Arial" w:hAnsi="Arial" w:eastAsia="Times New Roman" w:cs="Arial"/>
                <w:b/>
                <w:bCs/>
                <w:sz w:val="16"/>
                <w:szCs w:val="16"/>
              </w:rPr>
              <w:instrText xml:space="preserve"> NUMPAGES  </w:instrText>
            </w:r>
            <w:r>
              <w:rPr>
                <w:rFonts w:ascii="Arial" w:hAnsi="Arial" w:eastAsia="Times New Roman" w:cs="Arial"/>
                <w:b/>
                <w:bCs/>
                <w:sz w:val="16"/>
                <w:szCs w:val="16"/>
              </w:rPr>
              <w:fldChar w:fldCharType="separate"/>
            </w:r>
            <w:r>
              <w:rPr>
                <w:rFonts w:ascii="Arial" w:hAnsi="Arial" w:eastAsia="Times New Roman" w:cs="Arial"/>
                <w:b/>
                <w:bCs/>
                <w:sz w:val="16"/>
                <w:szCs w:val="16"/>
              </w:rPr>
              <w:t>3</w:t>
            </w:r>
            <w:r>
              <w:rPr>
                <w:rFonts w:ascii="Arial" w:hAnsi="Arial" w:eastAsia="Times New Roman" w:cs="Arial"/>
                <w:b/>
                <w:sz w:val="16"/>
                <w:szCs w:val="16"/>
              </w:rPr>
              <w:fldChar w:fldCharType="end"/>
            </w:r>
          </w:sdtContent>
        </w:sdt>
      </w:sdtContent>
    </w:sdt>
    <w:r>
      <w:rPr>
        <w:rFonts w:ascii="Arial" w:hAnsi="Arial" w:eastAsia="Times New Roman" w:cs="Arial"/>
        <w:b/>
        <w:sz w:val="16"/>
        <w:szCs w:val="16"/>
      </w:rPr>
      <w:ptab w:relativeTo="margin" w:alignment="right" w:leader="none"/>
    </w:r>
    <w:r>
      <w:rPr>
        <w:rFonts w:ascii="Arial" w:hAnsi="Arial" w:eastAsia="Times New Roman" w:cs="Arial"/>
        <w:b/>
        <w:sz w:val="16"/>
        <w:szCs w:val="16"/>
      </w:rPr>
      <w:t>CSTC Pty Ltd_RTO#0699_</w:t>
    </w:r>
    <w:sdt>
      <w:sdtPr>
        <w:rPr>
          <w:rFonts w:ascii="Arial" w:hAnsi="Arial" w:eastAsia="Times New Roman" w:cs="Arial"/>
          <w:b/>
          <w:sz w:val="16"/>
          <w:szCs w:val="16"/>
        </w:rPr>
        <w:alias w:val="Status"/>
        <w:id w:val="1836192853"/>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eastAsia="Times New Roman" w:cs="Arial"/>
          <w:b/>
          <w:sz w:val="16"/>
          <w:szCs w:val="16"/>
        </w:rPr>
      </w:sdtEndPr>
      <w:sdtContent>
        <w:r>
          <w:rPr>
            <w:rFonts w:ascii="Arial" w:hAnsi="Arial" w:eastAsia="Times New Roman" w:cs="Arial"/>
            <w:b/>
            <w:sz w:val="16"/>
            <w:szCs w:val="16"/>
          </w:rPr>
          <w:t>v1-0_10/03/2023</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id w:val="-709503163"/>
        <w:placeholder>
          <w:docPart w:val="7E8EE0DBC44B4DFE94F800C149E0C27C"/>
        </w:placeholder>
        <w:dataBinding w:prefixMappings="xmlns:ns0='http://purl.org/dc/elements/1.1/' xmlns:ns1='http://schemas.openxmlformats.org/package/2006/metadata/core-properties' " w:xpath="/ns1:coreProperties[1]/ns1:category[1]" w:storeItemID="{6C3C8BC8-F283-45AE-878A-BAB7291924A1}"/>
        <w:text/>
      </w:sdtPr>
      <w:sdtEndPr>
        <w:rPr>
          <w:rFonts w:ascii="Arial" w:hAnsi="Arial" w:cs="Arial"/>
          <w:b/>
          <w:sz w:val="16"/>
          <w:szCs w:val="16"/>
        </w:rPr>
      </w:sdtEndPr>
      <w:sdtContent>
        <w:r>
          <w:rPr>
            <w:rFonts w:ascii="Arial" w:hAnsi="Arial" w:cs="Arial"/>
            <w:b/>
            <w:sz w:val="16"/>
            <w:szCs w:val="16"/>
          </w:rPr>
          <w:t>Handout 3</w:t>
        </w:r>
      </w:sdtContent>
    </w:sdt>
    <w:r>
      <w:rPr>
        <w:rFonts w:ascii="Arial" w:hAnsi="Arial" w:cs="Arial"/>
        <w:b/>
        <w:sz w:val="16"/>
        <w:szCs w:val="16"/>
      </w:rPr>
      <w:t xml:space="preserve"> - </w:t>
    </w:r>
    <w:sdt>
      <w:sdtPr>
        <w:rPr>
          <w:rFonts w:ascii="Arial" w:hAnsi="Arial" w:cs="Arial"/>
          <w:b/>
          <w:sz w:val="16"/>
          <w:szCs w:val="16"/>
        </w:rPr>
        <w:alias w:val="Title"/>
        <w:id w:val="510111432"/>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CPCCBC4010</w:t>
        </w:r>
      </w:sdtContent>
    </w:sdt>
    <w:r>
      <w:rPr>
        <w:rFonts w:ascii="Arial" w:hAnsi="Arial" w:cs="Arial"/>
        <w:b/>
        <w:sz w:val="16"/>
        <w:szCs w:val="16"/>
      </w:rPr>
      <w:t xml:space="preserve"> </w:t>
    </w:r>
    <w:sdt>
      <w:sdtPr>
        <w:rPr>
          <w:rFonts w:ascii="Arial" w:hAnsi="Arial" w:cs="Arial"/>
          <w:b/>
          <w:sz w:val="16"/>
          <w:szCs w:val="16"/>
        </w:rPr>
        <w:alias w:val="Subject"/>
        <w:id w:val="-1854029525"/>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structural principles to residential and commercial constructions</w:t>
        </w:r>
      </w:sdtContent>
    </w:sdt>
  </w:p>
  <w:p>
    <w:pPr>
      <w:pBdr>
        <w:bottom w:val="single" w:color="auto" w:sz="4" w:space="1"/>
      </w:pBdr>
      <w:tabs>
        <w:tab w:val="right" w:pos="9639"/>
      </w:tabs>
      <w:spacing w:after="0" w:line="240" w:lineRule="auto"/>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spacing w:after="0" w:line="240" w:lineRule="auto"/>
      <w:rPr>
        <w:rFonts w:ascii="Arial" w:hAnsi="Arial" w:cs="Arial"/>
        <w:sz w:val="16"/>
        <w:szCs w:val="16"/>
      </w:rPr>
    </w:pPr>
    <w:sdt>
      <w:sdtPr>
        <w:rPr>
          <w:rFonts w:ascii="Arial" w:hAnsi="Arial" w:cs="Arial"/>
          <w:b/>
          <w:sz w:val="16"/>
          <w:szCs w:val="16"/>
        </w:rPr>
        <w:alias w:val="Category"/>
        <w:id w:val="2041005089"/>
        <w:placeholder>
          <w:docPart w:val="5DA5405AE5D24ADEB2F9A1EEFB09D172"/>
        </w:placeholder>
        <w:dataBinding w:prefixMappings="xmlns:ns0='http://purl.org/dc/elements/1.1/' xmlns:ns1='http://schemas.openxmlformats.org/package/2006/metadata/core-properties' " w:xpath="/ns1:coreProperties[1]/ns1:category[1]" w:storeItemID="{6C3C8BC8-F283-45AE-878A-BAB7291924A1}"/>
        <w:text/>
      </w:sdtPr>
      <w:sdtEndPr>
        <w:rPr>
          <w:rFonts w:ascii="Arial" w:hAnsi="Arial" w:cs="Arial"/>
          <w:b/>
          <w:sz w:val="16"/>
          <w:szCs w:val="16"/>
        </w:rPr>
      </w:sdtEndPr>
      <w:sdtContent>
        <w:r>
          <w:rPr>
            <w:rFonts w:ascii="Arial" w:hAnsi="Arial" w:cs="Arial"/>
            <w:b/>
            <w:sz w:val="16"/>
            <w:szCs w:val="16"/>
          </w:rPr>
          <w:t>Handout 3</w:t>
        </w:r>
      </w:sdtContent>
    </w:sdt>
    <w:r>
      <w:rPr>
        <w:rFonts w:ascii="Arial" w:hAnsi="Arial" w:cs="Arial"/>
        <w:b/>
        <w:sz w:val="16"/>
        <w:szCs w:val="16"/>
      </w:rPr>
      <w:t xml:space="preserve"> -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CPCCBC4010</w:t>
        </w:r>
      </w:sdtContent>
    </w:sdt>
    <w:r>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structural principles to residential and commercial constructions</w:t>
        </w:r>
      </w:sdtContent>
    </w:sdt>
  </w:p>
  <w:p>
    <w:pPr>
      <w:pBdr>
        <w:bottom w:val="single" w:color="auto" w:sz="4" w:space="1"/>
      </w:pBdr>
      <w:tabs>
        <w:tab w:val="right" w:pos="9639"/>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981943"/>
    <w:multiLevelType w:val="multilevel"/>
    <w:tmpl w:val="15981943"/>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8133AE1"/>
    <w:multiLevelType w:val="multilevel"/>
    <w:tmpl w:val="18133AE1"/>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7BAB263B"/>
    <w:multiLevelType w:val="multilevel"/>
    <w:tmpl w:val="7BAB263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evenAndOddHeaders w:val="1"/>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ExODU4OTgyZTZjYjg0YzUzNzA1YzUxMmJhYmJhYWUifQ=="/>
  </w:docVars>
  <w:rsids>
    <w:rsidRoot w:val="00AA0F01"/>
    <w:rsid w:val="000262CD"/>
    <w:rsid w:val="00042DC1"/>
    <w:rsid w:val="0008368F"/>
    <w:rsid w:val="00086D65"/>
    <w:rsid w:val="000A359C"/>
    <w:rsid w:val="000E275F"/>
    <w:rsid w:val="000E6964"/>
    <w:rsid w:val="00195F4B"/>
    <w:rsid w:val="001E4066"/>
    <w:rsid w:val="002966A6"/>
    <w:rsid w:val="002D412E"/>
    <w:rsid w:val="002E71A1"/>
    <w:rsid w:val="003029DA"/>
    <w:rsid w:val="00356CD0"/>
    <w:rsid w:val="003707F3"/>
    <w:rsid w:val="003B1C04"/>
    <w:rsid w:val="00405B7A"/>
    <w:rsid w:val="004A7014"/>
    <w:rsid w:val="004C79E4"/>
    <w:rsid w:val="005C6694"/>
    <w:rsid w:val="005E11E6"/>
    <w:rsid w:val="00673CF1"/>
    <w:rsid w:val="006C37FD"/>
    <w:rsid w:val="00742C82"/>
    <w:rsid w:val="007639BF"/>
    <w:rsid w:val="00774DBB"/>
    <w:rsid w:val="007D5F43"/>
    <w:rsid w:val="00800479"/>
    <w:rsid w:val="008045D9"/>
    <w:rsid w:val="00863122"/>
    <w:rsid w:val="008727DC"/>
    <w:rsid w:val="008772A5"/>
    <w:rsid w:val="009C5132"/>
    <w:rsid w:val="00A13A49"/>
    <w:rsid w:val="00A77466"/>
    <w:rsid w:val="00A85F24"/>
    <w:rsid w:val="00AA0F01"/>
    <w:rsid w:val="00AD63EE"/>
    <w:rsid w:val="00B27B78"/>
    <w:rsid w:val="00B93069"/>
    <w:rsid w:val="00BA5E42"/>
    <w:rsid w:val="00BD7D15"/>
    <w:rsid w:val="00C633D3"/>
    <w:rsid w:val="00D55BE0"/>
    <w:rsid w:val="00D73E5E"/>
    <w:rsid w:val="00DF7E8E"/>
    <w:rsid w:val="00E01439"/>
    <w:rsid w:val="00E01B94"/>
    <w:rsid w:val="00E3137C"/>
    <w:rsid w:val="00E47AA8"/>
    <w:rsid w:val="00E84220"/>
    <w:rsid w:val="00E84316"/>
    <w:rsid w:val="00F10A38"/>
    <w:rsid w:val="00F50489"/>
    <w:rsid w:val="00FA1572"/>
    <w:rsid w:val="00FA2BE9"/>
    <w:rsid w:val="00FA6297"/>
    <w:rsid w:val="00FC439C"/>
    <w:rsid w:val="2D842F0C"/>
    <w:rsid w:val="3E9732B8"/>
    <w:rsid w:val="502E7E5B"/>
    <w:rsid w:val="57720CBA"/>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2"/>
    <w:basedOn w:val="1"/>
    <w:next w:val="1"/>
    <w:unhideWhenUsed/>
    <w:qFormat/>
    <w:uiPriority w:val="9"/>
    <w:pPr>
      <w:keepNext/>
      <w:keepLines/>
      <w:outlineLvl w:val="1"/>
    </w:pPr>
    <w:rPr>
      <w:rFonts w:asciiTheme="majorHAnsi" w:hAnsiTheme="majorHAnsi" w:eastAsiaTheme="majorEastAsia" w:cstheme="majorBidi"/>
      <w:color w:val="2F5597" w:themeColor="accent1" w:themeShade="BF"/>
      <w:sz w:val="26"/>
      <w:szCs w:val="26"/>
    </w:rPr>
  </w:style>
  <w:style w:type="paragraph" w:styleId="3">
    <w:name w:val="heading 3"/>
    <w:basedOn w:val="1"/>
    <w:next w:val="1"/>
    <w:unhideWhenUsed/>
    <w:qFormat/>
    <w:uiPriority w:val="9"/>
    <w:pPr>
      <w:keepNext/>
      <w:keepLines/>
      <w:outlineLvl w:val="2"/>
    </w:pPr>
    <w:rPr>
      <w:rFonts w:asciiTheme="majorHAnsi" w:hAnsiTheme="majorHAnsi" w:eastAsiaTheme="majorEastAsia" w:cstheme="majorBidi"/>
      <w:color w:val="203864" w:themeColor="accent1" w:themeShade="80"/>
      <w:sz w:val="24"/>
      <w:szCs w:val="24"/>
    </w:rPr>
  </w:style>
  <w:style w:type="character" w:default="1" w:styleId="8">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4">
    <w:name w:val="footer"/>
    <w:basedOn w:val="1"/>
    <w:link w:val="11"/>
    <w:autoRedefine/>
    <w:unhideWhenUsed/>
    <w:qFormat/>
    <w:uiPriority w:val="99"/>
    <w:pPr>
      <w:tabs>
        <w:tab w:val="center" w:pos="4513"/>
        <w:tab w:val="right" w:pos="9026"/>
      </w:tabs>
      <w:spacing w:after="0" w:line="240" w:lineRule="auto"/>
    </w:pPr>
  </w:style>
  <w:style w:type="paragraph" w:styleId="5">
    <w:name w:val="header"/>
    <w:basedOn w:val="1"/>
    <w:link w:val="10"/>
    <w:unhideWhenUsed/>
    <w:uiPriority w:val="99"/>
    <w:pPr>
      <w:tabs>
        <w:tab w:val="center" w:pos="4513"/>
        <w:tab w:val="right" w:pos="9026"/>
      </w:tabs>
      <w:spacing w:after="0" w:line="240" w:lineRule="auto"/>
    </w:pPr>
  </w:style>
  <w:style w:type="paragraph" w:styleId="6">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character" w:styleId="9">
    <w:name w:val="Hyperlink"/>
    <w:basedOn w:val="8"/>
    <w:semiHidden/>
    <w:unhideWhenUsed/>
    <w:qFormat/>
    <w:uiPriority w:val="99"/>
    <w:rPr>
      <w:color w:val="0000FF"/>
      <w:u w:val="single"/>
    </w:rPr>
  </w:style>
  <w:style w:type="character" w:customStyle="1" w:styleId="10">
    <w:name w:val="Header Char"/>
    <w:basedOn w:val="8"/>
    <w:link w:val="5"/>
    <w:uiPriority w:val="99"/>
  </w:style>
  <w:style w:type="character" w:customStyle="1" w:styleId="11">
    <w:name w:val="Footer Char"/>
    <w:basedOn w:val="8"/>
    <w:link w:val="4"/>
    <w:autoRedefine/>
    <w:qFormat/>
    <w:uiPriority w:val="99"/>
  </w:style>
  <w:style w:type="paragraph" w:customStyle="1" w:styleId="12">
    <w:name w:val="(22) TA Hidden Written Response"/>
    <w:link w:val="13"/>
    <w:autoRedefine/>
    <w:qFormat/>
    <w:uiPriority w:val="0"/>
    <w:pPr>
      <w:spacing w:after="0" w:line="480" w:lineRule="exact"/>
      <w:contextualSpacing/>
      <w:jc w:val="both"/>
    </w:pPr>
    <w:rPr>
      <w:rFonts w:ascii="Arial" w:hAnsi="Arial" w:cs="Arial" w:eastAsiaTheme="minorHAnsi"/>
      <w:vanish/>
      <w:color w:val="002060"/>
      <w:sz w:val="22"/>
      <w:szCs w:val="22"/>
      <w:lang w:val="en-AU" w:eastAsia="en-US" w:bidi="ar-SA"/>
    </w:rPr>
  </w:style>
  <w:style w:type="character" w:customStyle="1" w:styleId="13">
    <w:name w:val="(22) TA Hidden Written Response Char"/>
    <w:basedOn w:val="8"/>
    <w:link w:val="12"/>
    <w:uiPriority w:val="0"/>
    <w:rPr>
      <w:rFonts w:ascii="Arial" w:hAnsi="Arial" w:cs="Arial"/>
      <w:vanish/>
      <w:color w:val="002060"/>
    </w:rPr>
  </w:style>
  <w:style w:type="paragraph" w:styleId="14">
    <w:name w:val="List Paragraph"/>
    <w:basedOn w:val="1"/>
    <w:qFormat/>
    <w:uiPriority w:val="34"/>
    <w:pPr>
      <w:ind w:left="720"/>
      <w:contextualSpacing/>
    </w:pPr>
  </w:style>
  <w:style w:type="character" w:styleId="15">
    <w:name w:val="Placeholder Text"/>
    <w:basedOn w:val="8"/>
    <w:autoRedefine/>
    <w:semiHidden/>
    <w:qFormat/>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E8EE0DBC44B4DFE94F800C149E0C27C"/>
        <w:style w:val=""/>
        <w:category>
          <w:name w:val="General"/>
          <w:gallery w:val="placeholder"/>
        </w:category>
        <w:types>
          <w:type w:val="bbPlcHdr"/>
        </w:types>
        <w:behaviors>
          <w:behavior w:val="content"/>
        </w:behaviors>
        <w:description w:val=""/>
        <w:guid w:val="{D7D90C31-33AC-47A5-804F-FE8A585874B0}"/>
      </w:docPartPr>
      <w:docPartBody>
        <w:p>
          <w:r>
            <w:rPr>
              <w:rStyle w:val="4"/>
            </w:rPr>
            <w:t>[Category]</w:t>
          </w:r>
        </w:p>
      </w:docPartBody>
    </w:docPart>
    <w:docPart>
      <w:docPartPr>
        <w:name w:val="5DA5405AE5D24ADEB2F9A1EEFB09D172"/>
        <w:style w:val=""/>
        <w:category>
          <w:name w:val="General"/>
          <w:gallery w:val="placeholder"/>
        </w:category>
        <w:types>
          <w:type w:val="bbPlcHdr"/>
        </w:types>
        <w:behaviors>
          <w:behavior w:val="content"/>
        </w:behaviors>
        <w:description w:val=""/>
        <w:guid w:val="{0AFE405F-1E9C-4F26-9B6F-7380B6B6BC45}"/>
      </w:docPartPr>
      <w:docPartBody>
        <w:p>
          <w:r>
            <w:rPr>
              <w:rStyle w:val="4"/>
            </w:rPr>
            <w:t>[Category]</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5F6"/>
    <w:rsid w:val="007565F6"/>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autoRedefine/>
    <w:qFormat/>
    <w:uiPriority w:val="0"/>
    <w:pPr>
      <w:spacing w:after="160" w:line="259" w:lineRule="auto"/>
    </w:pPr>
    <w:rPr>
      <w:rFonts w:cs="Times New Roman" w:asciiTheme="minorHAnsi" w:hAnsiTheme="minorHAnsi" w:eastAsiaTheme="minorEastAsia"/>
      <w:kern w:val="2"/>
      <w:sz w:val="3276"/>
      <w:szCs w:val="3276"/>
      <w:lang w:val="en-AU" w:eastAsia="en-AU" w:bidi="ar-SA"/>
      <w14:ligatures w14:val="standardContextual"/>
    </w:rPr>
  </w:style>
  <w:style w:type="character" w:default="1" w:styleId="2">
    <w:name w:val="Default Paragraph Font"/>
    <w:autoRedefine/>
    <w:semiHidden/>
    <w:unhideWhenUsed/>
    <w:qFormat/>
    <w:uiPriority w:val="1"/>
  </w:style>
  <w:style w:type="table" w:default="1" w:styleId="3">
    <w:name w:val="Normal Table"/>
    <w:autoRedefine/>
    <w:semiHidden/>
    <w:unhideWhenUsed/>
    <w:qFormat/>
    <w:uiPriority w:val="99"/>
    <w:tblPr>
      <w:tblCellMar>
        <w:top w:w="0" w:type="dxa"/>
        <w:left w:w="108" w:type="dxa"/>
        <w:bottom w:w="0" w:type="dxa"/>
        <w:right w:w="108" w:type="dxa"/>
      </w:tblCellMar>
    </w:tblPr>
  </w:style>
  <w:style w:type="character" w:styleId="4">
    <w:name w:val="Placeholder Text"/>
    <w:basedOn w:val="2"/>
    <w:autoRedefine/>
    <w:semiHidden/>
    <w:qFormat/>
    <w:uiPriority w:val="99"/>
    <w:rPr>
      <w:color w:val="808080"/>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376</Words>
  <Characters>2146</Characters>
  <Lines>17</Lines>
  <Paragraphs>5</Paragraphs>
  <TotalTime>82</TotalTime>
  <ScaleCrop>false</ScaleCrop>
  <LinksUpToDate>false</LinksUpToDate>
  <CharactersWithSpaces>2517</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Handout 3</cp:category>
  <dcterms:created xsi:type="dcterms:W3CDTF">2023-03-10T02:00:00Z</dcterms:created>
  <dc:creator>Heidi Newton</dc:creator>
  <cp:lastModifiedBy>Administrator</cp:lastModifiedBy>
  <cp:lastPrinted>2022-02-08T03:08:00Z</cp:lastPrinted>
  <dcterms:modified xsi:type="dcterms:W3CDTF">2024-01-27T07:13:57Z</dcterms:modified>
  <dc:subject>Apply structural principles to residential and commercial constructions</dc:subject>
  <dc:title>CPCCBC4010</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5E570D6EB3944170BAF52E136670E4D8_13</vt:lpwstr>
  </property>
</Properties>
</file>