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glossary/document.xml" ContentType="application/vnd.openxmlformats-officedocument.wordprocessingml.document.glossary+xml"/>
  <Override PartName="/word/glossary/endnotes.xml" ContentType="application/vnd.openxmlformats-officedocument.wordprocessingml.endnotes+xml"/>
  <Override PartName="/word/glossary/fontTable.xml" ContentType="application/vnd.openxmlformats-officedocument.wordprocessingml.fontTable+xml"/>
  <Override PartName="/word/glossary/footnotes.xml" ContentType="application/vnd.openxmlformats-officedocument.wordprocessingml.footnotes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120" w:after="120" w:line="276" w:lineRule="au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Workplace Assessment 6.2 – Assessor’s Checklist</w:t>
      </w:r>
    </w:p>
    <w:p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i/>
          <w:i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(This form is for the assessor’s use only)</w:t>
      </w:r>
    </w:p>
    <w:p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Purpose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This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  <w:r>
        <w:rPr>
          <w:rFonts w:cstheme="minorHAnsi"/>
          <w:sz w:val="20"/>
          <w:szCs w:val="20"/>
        </w:rPr>
        <w:t xml:space="preserve"> 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lists the practical skills that the candidate must demonstrate/perform while completing </w:t>
      </w:r>
      <w:r>
        <w:rPr>
          <w:rFonts w:cstheme="minorHAnsi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Workplace Assessment 6.2.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This form is to be completed by the candidate’s assessor to document their assessment on the candidate’s performance in Workplace Assessment 6.2.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Task Overview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For this task, the candidate is required to negotiate with parties involved in workplace conflicts to reach a resolution.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In this task, the candidate will be assessed in their:</w:t>
      </w:r>
    </w:p>
    <w:p>
      <w:pPr>
        <w:pStyle w:val="18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Practical knowledge of how to negotiate and resolve workplace conflicts</w:t>
      </w:r>
    </w:p>
    <w:p>
      <w:pPr>
        <w:pStyle w:val="18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Practical skills relevant to negotiating and resolving workplace conflicts</w:t>
      </w:r>
    </w:p>
    <w:p>
      <w:pPr>
        <w:pStyle w:val="18"/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:highlight w:val="yellow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Instructions to the Assessor</w:t>
      </w:r>
    </w:p>
    <w:p>
      <w:pPr>
        <w:pStyle w:val="4"/>
        <w:spacing w:before="120" w:after="120" w:line="276" w:lineRule="auto"/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During the assessment</w:t>
      </w:r>
    </w:p>
    <w:p>
      <w:pPr>
        <w:pStyle w:val="18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bookmarkStart w:id="0" w:name="_Hlk41043736"/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For each practical skill listed in this Assessor’s Checklist:</w:t>
      </w:r>
    </w:p>
    <w:p>
      <w:pPr>
        <w:pStyle w:val="18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Tick YES if you confirm you have assessed the candidate demonstrate/perform the practical skill.</w:t>
      </w:r>
    </w:p>
    <w:p>
      <w:pPr>
        <w:pStyle w:val="18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Tick NO if you have not assessed the candidate demonstrate/perform the practical skill.</w:t>
      </w:r>
    </w:p>
    <w:p>
      <w:pPr>
        <w:pStyle w:val="18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If you ticked YES, provide the date when you assessed the candidate demonstrate the skill.</w:t>
      </w:r>
    </w:p>
    <w:bookmarkEnd w:id="0"/>
    <w:p>
      <w:pPr>
        <w:pStyle w:val="18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Write specific comments on the candidate’s performance in each criterion. Your feedback/insights will help address any area/s for improvement. </w:t>
      </w:r>
    </w:p>
    <w:p>
      <w:pPr>
        <w:pStyle w:val="4"/>
        <w:spacing w:before="120" w:after="120" w:line="276" w:lineRule="auto"/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After the assessment</w:t>
      </w:r>
    </w:p>
    <w:p>
      <w:pPr>
        <w:pStyle w:val="18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Complete all parts of the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, including the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 Declaration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 on the last page of this form. Your signature must be handwritten.</w:t>
      </w:r>
    </w:p>
    <w:p>
      <w:pPr>
        <w:pStyle w:val="18"/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rPr>
          <w:rFonts w:ascii="Arial" w:hAnsi="Arial" w:cs="Arial" w:eastAsiaTheme="majorEastAsia"/>
          <w:b/>
          <w:b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br w:type="page"/>
      </w: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Candidate Details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name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Dawei Yang</w:t>
            </w:r>
            <w:bookmarkStart w:id="1" w:name="_GoBack"/>
            <w:bookmarkEnd w:id="1"/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/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 Details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is assessed by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Yanzhong Zhu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/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Context of the Assessment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Workplace/organisation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Dawn construction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Resources required for the assessment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pStyle w:val="18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Building and construction project</w:t>
            </w:r>
          </w:p>
          <w:p>
            <w:pPr>
              <w:pStyle w:val="18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Access to colleagues who are also working on the building and construction project</w:t>
            </w:r>
          </w:p>
          <w:p>
            <w:pPr>
              <w:pStyle w:val="18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Opportunities to negotiate with parties involved in workplace conflicts to reach a resolution</w:t>
            </w:r>
          </w:p>
          <w:p>
            <w:pPr>
              <w:pStyle w:val="18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Policies and procedures relevant to resolving workplace conflicts</w:t>
            </w:r>
          </w:p>
          <w:p>
            <w:pPr>
              <w:pStyle w:val="18"/>
              <w:numPr>
                <w:ilvl w:val="0"/>
                <w:numId w:val="2"/>
              </w:numPr>
              <w:tabs>
                <w:tab w:val="left" w:pos="180"/>
              </w:tabs>
              <w:spacing w:before="0" w:after="160" w:line="259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Workplace resources, such as, but not limited to:</w:t>
            </w:r>
          </w:p>
          <w:p>
            <w:pPr>
              <w:pStyle w:val="18"/>
              <w:numPr>
                <w:ilvl w:val="0"/>
                <w:numId w:val="2"/>
              </w:numPr>
              <w:tabs>
                <w:tab w:val="left" w:pos="180"/>
              </w:tabs>
              <w:spacing w:before="0" w:after="160" w:line="259" w:lineRule="auto"/>
              <w:ind w:left="1292"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Staff handbook</w:t>
            </w:r>
          </w:p>
          <w:p>
            <w:pPr>
              <w:pStyle w:val="18"/>
              <w:numPr>
                <w:ilvl w:val="0"/>
                <w:numId w:val="2"/>
              </w:numPr>
              <w:tabs>
                <w:tab w:val="left" w:pos="180"/>
              </w:tabs>
              <w:spacing w:before="0" w:after="160" w:line="259" w:lineRule="auto"/>
              <w:ind w:left="1292"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Human resources management plan</w:t>
            </w:r>
          </w:p>
          <w:p>
            <w:pPr>
              <w:pStyle w:val="18"/>
              <w:numPr>
                <w:ilvl w:val="0"/>
                <w:numId w:val="2"/>
              </w:numPr>
              <w:tabs>
                <w:tab w:val="left" w:pos="180"/>
              </w:tabs>
              <w:spacing w:before="0" w:after="160" w:line="259" w:lineRule="auto"/>
              <w:ind w:left="1292"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Rooms where conflict resolution meetings can be held</w:t>
            </w:r>
          </w:p>
          <w:p>
            <w:pPr>
              <w:pStyle w:val="18"/>
              <w:numPr>
                <w:ilvl w:val="0"/>
                <w:numId w:val="2"/>
              </w:numPr>
              <w:tabs>
                <w:tab w:val="left" w:pos="180"/>
              </w:tabs>
              <w:spacing w:before="0" w:after="160" w:line="259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Digital devices, applications, or software that can be used to communicate on the project site, such as, but not limited to:</w:t>
            </w:r>
          </w:p>
          <w:p>
            <w:pPr>
              <w:pStyle w:val="18"/>
              <w:numPr>
                <w:ilvl w:val="0"/>
                <w:numId w:val="2"/>
              </w:numPr>
              <w:tabs>
                <w:tab w:val="left" w:pos="180"/>
              </w:tabs>
              <w:spacing w:before="0" w:after="160" w:line="259" w:lineRule="auto"/>
              <w:ind w:left="1292"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Laptop or desktop computer</w:t>
            </w:r>
          </w:p>
          <w:p>
            <w:pPr>
              <w:pStyle w:val="18"/>
              <w:numPr>
                <w:ilvl w:val="0"/>
                <w:numId w:val="2"/>
              </w:numPr>
              <w:tabs>
                <w:tab w:val="left" w:pos="180"/>
              </w:tabs>
              <w:spacing w:before="0" w:after="160" w:line="259" w:lineRule="auto"/>
              <w:ind w:left="1292"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Mobile phone</w:t>
            </w:r>
          </w:p>
        </w:tc>
      </w:tr>
    </w:tbl>
    <w:p>
      <w:r>
        <w:br w:type="page"/>
      </w:r>
    </w:p>
    <w:p>
      <w:pPr>
        <w:pStyle w:val="2"/>
        <w:spacing w:before="120" w:after="120" w:line="276" w:lineRule="auto"/>
        <w:rPr>
          <w:rFonts w:asciiTheme="minorHAnsi" w:hAnsiTheme="minorHAnsi" w:cstheme="minorHAnsi"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Theme="minorHAnsi" w:hAnsiTheme="minorHAnsi" w:cstheme="minorHAnsi"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15"/>
        <w:gridCol w:w="1843"/>
        <w:gridCol w:w="2358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815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talks to all parties involved in the workplace conflict.</w:t>
            </w:r>
          </w:p>
        </w:tc>
        <w:tc>
          <w:tcPr>
            <w:tcW w:w="1843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792" w:right="29" w:hanging="36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2358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792" w:right="29" w:hanging="36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815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1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talks to them separately.</w:t>
            </w:r>
          </w:p>
        </w:tc>
        <w:tc>
          <w:tcPr>
            <w:tcW w:w="1843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2358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815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1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asks them what, in their opinion, led to the conflict.</w:t>
            </w:r>
          </w:p>
        </w:tc>
        <w:tc>
          <w:tcPr>
            <w:tcW w:w="1843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2358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815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1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asks them for their perspective of the workplace conflict.</w:t>
            </w:r>
          </w:p>
        </w:tc>
        <w:tc>
          <w:tcPr>
            <w:tcW w:w="1843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2358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1" w:hRule="atLeast"/>
          <w:jc w:val="center"/>
        </w:trPr>
        <w:tc>
          <w:tcPr>
            <w:tcW w:w="4815" w:type="dxa"/>
            <w:shd w:val="clear" w:color="auto" w:fill="auto"/>
          </w:tcPr>
          <w:p>
            <w:pPr>
              <w:pStyle w:val="18"/>
              <w:numPr>
                <w:ilvl w:val="1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asks them how the conflict has affected their work.</w:t>
            </w:r>
          </w:p>
        </w:tc>
        <w:tc>
          <w:tcPr>
            <w:tcW w:w="1843" w:type="dxa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2358" w:type="dxa"/>
          </w:tcPr>
          <w:p>
            <w:pPr>
              <w:spacing w:before="120" w:after="120" w:line="276" w:lineRule="auto"/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815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coordinates with the supervisors of the personnel involved in the workplace conflict.</w:t>
            </w:r>
          </w:p>
        </w:tc>
        <w:tc>
          <w:tcPr>
            <w:tcW w:w="1843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2358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815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1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asks the supervisors about the events that led up to the conflict.</w:t>
            </w:r>
          </w:p>
        </w:tc>
        <w:tc>
          <w:tcPr>
            <w:tcW w:w="1843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2358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815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1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asks the supervisors when they are free for a conflict resolution meeting.</w:t>
            </w:r>
          </w:p>
        </w:tc>
        <w:tc>
          <w:tcPr>
            <w:tcW w:w="1843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2358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815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coordinates with human resources (HR) to identify any penalties and strategies.</w:t>
            </w:r>
          </w:p>
        </w:tc>
        <w:tc>
          <w:tcPr>
            <w:tcW w:w="1843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792" w:right="29" w:hanging="36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2358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815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101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schedules a conflict resolution meeting.</w:t>
            </w:r>
          </w:p>
        </w:tc>
        <w:tc>
          <w:tcPr>
            <w:tcW w:w="1843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792" w:right="29" w:hanging="36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2358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1" w:hRule="atLeast"/>
          <w:jc w:val="center"/>
        </w:trPr>
        <w:tc>
          <w:tcPr>
            <w:tcW w:w="4815" w:type="dxa"/>
            <w:shd w:val="clear" w:color="auto" w:fill="auto"/>
          </w:tcPr>
          <w:p>
            <w:pPr>
              <w:pStyle w:val="18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assists in maintaining the flow of the meeting:</w:t>
            </w:r>
          </w:p>
        </w:tc>
        <w:tc>
          <w:tcPr>
            <w:tcW w:w="1843" w:type="dxa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2358" w:type="dxa"/>
          </w:tcPr>
          <w:p>
            <w:pPr>
              <w:spacing w:before="120" w:after="120" w:line="276" w:lineRule="auto"/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1" w:hRule="atLeast"/>
          <w:jc w:val="center"/>
        </w:trPr>
        <w:tc>
          <w:tcPr>
            <w:tcW w:w="4815" w:type="dxa"/>
            <w:shd w:val="clear" w:color="auto" w:fill="auto"/>
          </w:tcPr>
          <w:p>
            <w:pPr>
              <w:pStyle w:val="18"/>
              <w:numPr>
                <w:ilvl w:val="1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assists in keeping the parties involved in the conflict calm.</w:t>
            </w:r>
          </w:p>
        </w:tc>
        <w:tc>
          <w:tcPr>
            <w:tcW w:w="1843" w:type="dxa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2358" w:type="dxa"/>
          </w:tcPr>
          <w:p>
            <w:pPr>
              <w:spacing w:before="120" w:after="120" w:line="276" w:lineRule="auto"/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1" w:hRule="atLeast"/>
          <w:jc w:val="center"/>
        </w:trPr>
        <w:tc>
          <w:tcPr>
            <w:tcW w:w="4815" w:type="dxa"/>
            <w:shd w:val="clear" w:color="auto" w:fill="auto"/>
          </w:tcPr>
          <w:p>
            <w:pPr>
              <w:pStyle w:val="18"/>
              <w:numPr>
                <w:ilvl w:val="1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makes sure that both parties involved in the conflict have a chance to speak.</w:t>
            </w:r>
          </w:p>
        </w:tc>
        <w:tc>
          <w:tcPr>
            <w:tcW w:w="1843" w:type="dxa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2358" w:type="dxa"/>
          </w:tcPr>
          <w:p>
            <w:pPr>
              <w:spacing w:before="120" w:after="120" w:line="276" w:lineRule="auto"/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1" w:hRule="atLeast"/>
          <w:jc w:val="center"/>
        </w:trPr>
        <w:tc>
          <w:tcPr>
            <w:tcW w:w="4815" w:type="dxa"/>
            <w:shd w:val="clear" w:color="auto" w:fill="auto"/>
          </w:tcPr>
          <w:p>
            <w:pPr>
              <w:pStyle w:val="18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works with the meeting attendees to identify the cause of the conflict.</w:t>
            </w:r>
          </w:p>
        </w:tc>
        <w:tc>
          <w:tcPr>
            <w:tcW w:w="1843" w:type="dxa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2358" w:type="dxa"/>
          </w:tcPr>
          <w:p>
            <w:pPr>
              <w:spacing w:before="120" w:after="120" w:line="276" w:lineRule="auto"/>
              <w:ind w:left="0" w:right="101" w:firstLine="0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1" w:hRule="atLeast"/>
          <w:jc w:val="center"/>
        </w:trPr>
        <w:tc>
          <w:tcPr>
            <w:tcW w:w="4815" w:type="dxa"/>
            <w:shd w:val="clear" w:color="auto" w:fill="auto"/>
          </w:tcPr>
          <w:p>
            <w:pPr>
              <w:pStyle w:val="18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works with meeting attendees to come up with a solution to resolve the conflict.</w:t>
            </w:r>
          </w:p>
        </w:tc>
        <w:tc>
          <w:tcPr>
            <w:tcW w:w="1843" w:type="dxa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2358" w:type="dxa"/>
          </w:tcPr>
          <w:p>
            <w:pPr>
              <w:spacing w:before="120" w:after="120" w:line="276" w:lineRule="auto"/>
              <w:ind w:left="0" w:right="101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1" w:hRule="atLeast"/>
          <w:jc w:val="center"/>
        </w:trPr>
        <w:tc>
          <w:tcPr>
            <w:tcW w:w="4815" w:type="dxa"/>
            <w:shd w:val="clear" w:color="auto" w:fill="auto"/>
          </w:tcPr>
          <w:p>
            <w:pPr>
              <w:pStyle w:val="18"/>
              <w:numPr>
                <w:ilvl w:val="1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shares their proposal for a solution.</w:t>
            </w:r>
          </w:p>
        </w:tc>
        <w:tc>
          <w:tcPr>
            <w:tcW w:w="1843" w:type="dxa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2358" w:type="dxa"/>
          </w:tcPr>
          <w:p>
            <w:pPr>
              <w:spacing w:before="120" w:after="120" w:line="276" w:lineRule="auto"/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1" w:hRule="atLeast"/>
          <w:jc w:val="center"/>
        </w:trPr>
        <w:tc>
          <w:tcPr>
            <w:tcW w:w="4815" w:type="dxa"/>
            <w:shd w:val="clear" w:color="auto" w:fill="auto"/>
          </w:tcPr>
          <w:p>
            <w:pPr>
              <w:pStyle w:val="18"/>
              <w:numPr>
                <w:ilvl w:val="1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asks for the opinions of the meeting attendees regarding a potential solution.</w:t>
            </w:r>
          </w:p>
        </w:tc>
        <w:tc>
          <w:tcPr>
            <w:tcW w:w="1843" w:type="dxa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2358" w:type="dxa"/>
          </w:tcPr>
          <w:p>
            <w:pPr>
              <w:spacing w:before="120" w:after="120" w:line="276" w:lineRule="auto"/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1" w:hRule="atLeast"/>
          <w:jc w:val="center"/>
        </w:trPr>
        <w:tc>
          <w:tcPr>
            <w:tcW w:w="4815" w:type="dxa"/>
            <w:shd w:val="clear" w:color="auto" w:fill="auto"/>
          </w:tcPr>
          <w:p>
            <w:pPr>
              <w:pStyle w:val="18"/>
              <w:numPr>
                <w:ilvl w:val="1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identifies a solution that satisfies all parties involved.</w:t>
            </w:r>
          </w:p>
        </w:tc>
        <w:tc>
          <w:tcPr>
            <w:tcW w:w="1843" w:type="dxa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2358" w:type="dxa"/>
          </w:tcPr>
          <w:p>
            <w:pPr>
              <w:spacing w:before="120" w:after="120" w:line="276" w:lineRule="auto"/>
              <w:ind w:left="0" w:right="101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1" w:hRule="atLeast"/>
          <w:jc w:val="center"/>
        </w:trPr>
        <w:tc>
          <w:tcPr>
            <w:tcW w:w="4815" w:type="dxa"/>
            <w:shd w:val="clear" w:color="auto" w:fill="auto"/>
          </w:tcPr>
          <w:p>
            <w:pPr>
              <w:pStyle w:val="18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implements the solution identified.</w:t>
            </w:r>
          </w:p>
        </w:tc>
        <w:tc>
          <w:tcPr>
            <w:tcW w:w="1843" w:type="dxa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2358" w:type="dxa"/>
          </w:tcPr>
          <w:p>
            <w:pPr>
              <w:spacing w:before="120" w:after="120" w:line="276" w:lineRule="auto"/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1" w:hRule="atLeast"/>
          <w:jc w:val="center"/>
        </w:trPr>
        <w:tc>
          <w:tcPr>
            <w:tcW w:w="4815" w:type="dxa"/>
            <w:shd w:val="clear" w:color="auto" w:fill="auto"/>
          </w:tcPr>
          <w:p>
            <w:pPr>
              <w:pStyle w:val="18"/>
              <w:numPr>
                <w:ilvl w:val="1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informs personnel who will be affected by the solution.</w:t>
            </w:r>
          </w:p>
        </w:tc>
        <w:tc>
          <w:tcPr>
            <w:tcW w:w="1843" w:type="dxa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2358" w:type="dxa"/>
          </w:tcPr>
          <w:p>
            <w:pPr>
              <w:spacing w:before="120" w:after="120" w:line="276" w:lineRule="auto"/>
              <w:ind w:left="0" w:right="101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815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1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gathers the resources required for the implementation of the solution.</w:t>
            </w:r>
          </w:p>
        </w:tc>
        <w:tc>
          <w:tcPr>
            <w:tcW w:w="1843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2358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1" w:hRule="atLeast"/>
          <w:jc w:val="center"/>
        </w:trPr>
        <w:tc>
          <w:tcPr>
            <w:tcW w:w="4815" w:type="dxa"/>
            <w:shd w:val="clear" w:color="auto" w:fill="auto"/>
          </w:tcPr>
          <w:p>
            <w:pPr>
              <w:pStyle w:val="18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checks in with parties to the conflict.</w:t>
            </w:r>
          </w:p>
        </w:tc>
        <w:tc>
          <w:tcPr>
            <w:tcW w:w="1843" w:type="dxa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2358" w:type="dxa"/>
          </w:tcPr>
          <w:p>
            <w:pPr>
              <w:spacing w:before="120" w:after="120" w:line="276" w:lineRule="auto"/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1" w:hRule="atLeast"/>
          <w:jc w:val="center"/>
        </w:trPr>
        <w:tc>
          <w:tcPr>
            <w:tcW w:w="4815" w:type="dxa"/>
            <w:shd w:val="clear" w:color="auto" w:fill="auto"/>
          </w:tcPr>
          <w:p>
            <w:pPr>
              <w:pStyle w:val="18"/>
              <w:numPr>
                <w:ilvl w:val="1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asks the parties if the conflict has returned.</w:t>
            </w:r>
          </w:p>
        </w:tc>
        <w:tc>
          <w:tcPr>
            <w:tcW w:w="1843" w:type="dxa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2358" w:type="dxa"/>
          </w:tcPr>
          <w:p>
            <w:pPr>
              <w:spacing w:before="120" w:after="120" w:line="276" w:lineRule="auto"/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/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82"/>
        <w:gridCol w:w="6163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0" w:hRule="atLeast"/>
          <w:jc w:val="center"/>
        </w:trPr>
        <w:tc>
          <w:tcPr>
            <w:tcW w:w="5000" w:type="pct"/>
            <w:gridSpan w:val="2"/>
            <w:shd w:val="clear" w:color="auto" w:fill="F1F1F1" w:themeFill="background1" w:themeFillShade="F2"/>
            <w:vAlign w:val="center"/>
          </w:tcPr>
          <w:p>
            <w:pPr>
              <w:spacing w:before="120" w:after="120" w:line="276" w:lineRule="auto"/>
              <w:ind w:left="65" w:right="93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br w:type="page"/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 Declaration</w:t>
            </w:r>
          </w:p>
          <w:p>
            <w:pPr>
              <w:spacing w:before="120" w:after="120" w:line="276" w:lineRule="auto"/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By signing here, I confirm that I have assessed the candidate, whose name appears above, negotiate with parties involved in workplace conflicts to reach a resolution.</w:t>
            </w:r>
          </w:p>
          <w:p>
            <w:pPr>
              <w:spacing w:before="120" w:after="120" w:line="276" w:lineRule="auto"/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I confirm that the information recorded on this </w:t>
            </w:r>
            <w:r>
              <w:rPr>
                <w:rFonts w:ascii="Arial" w:hAnsi="Arial" w:cs="Arial"/>
                <w:i/>
                <w:i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Checklist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is true and accurately reflects the candidate’s performance during their completion of the workplace task.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signature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drawing>
                <wp:inline distT="0" distB="0" distL="114300" distR="114300">
                  <wp:extent cx="1821180" cy="305435"/>
                  <wp:effectExtent l="0" t="0" r="0" b="18415"/>
                  <wp:docPr id="1" name="图片 1" descr="2 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2 (1)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1180" cy="3054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name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Steve Zhu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Date signed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18/05/2023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spacing w:before="120" w:after="120"/>
        <w:jc w:val="center"/>
      </w:pPr>
      <w:r>
        <w:rPr>
          <w:rFonts w:cstheme="minorHAnsi"/>
          <w:color w:val="A6A6A6" w:themeColor="background1" w:themeShade="A6"/>
          <w:sz w:val="20"/>
        </w:rPr>
        <w:t>End of Workplace Assessment – Assessor’s Checklist</w:t>
      </w: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9" w:h="16834"/>
      <w:pgMar w:top="1440" w:right="1440" w:bottom="1440" w:left="1440" w:header="706" w:footer="706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cs="Times New Roman"/>
        <w:sz w:val="16"/>
        <w:szCs w:val="16"/>
      </w:rPr>
      <w:id w:val="36327398"/>
      <w:docPartObj>
        <w:docPartGallery w:val="AutoText"/>
      </w:docPartObj>
    </w:sdtPr>
    <w:sdtEndPr>
      <w:rPr>
        <w:rFonts w:cs="Times New Roman"/>
        <w:sz w:val="16"/>
        <w:szCs w:val="16"/>
      </w:rPr>
    </w:sdtEndPr>
    <w:sdtContent>
      <w:p>
        <w:pPr>
          <w:pBdr>
            <w:top w:val="single" w:color="auto" w:sz="4" w:space="1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1184167194"/>
            <w:placeholder>
              <w:docPart w:val="035ABE6653E044D0B2FD013128396CBC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>
            <w:rPr>
              <w:sz w:val="16"/>
              <w:szCs w:val="16"/>
            </w:rPr>
          </w:sdtEndPr>
          <w:sdtContent>
            <w:r>
              <w:rPr>
                <w:sz w:val="16"/>
                <w:szCs w:val="16"/>
              </w:rPr>
              <w:t>v1-1_06/12/2022</w:t>
            </w:r>
          </w:sdtContent>
        </w:sdt>
        <w:r>
          <w:rPr>
            <w:rFonts w:cs="Times New Roman"/>
            <w:sz w:val="16"/>
            <w:szCs w:val="16"/>
          </w:rPr>
          <w:tab/>
        </w:r>
        <w:r>
          <w:rPr>
            <w:rFonts w:cs="Times New Roman"/>
            <w:sz w:val="16"/>
            <w:szCs w:val="16"/>
          </w:rPr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2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132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cs="Times New Roman"/>
        <w:sz w:val="16"/>
        <w:szCs w:val="16"/>
      </w:rPr>
      <w:id w:val="289471755"/>
      <w:docPartObj>
        <w:docPartGallery w:val="AutoText"/>
      </w:docPartObj>
    </w:sdtPr>
    <w:sdtEndPr>
      <w:rPr>
        <w:rFonts w:cs="Times New Roman"/>
        <w:sz w:val="16"/>
        <w:szCs w:val="16"/>
      </w:rPr>
    </w:sdtEndPr>
    <w:sdtContent>
      <w:p>
        <w:pPr>
          <w:pBdr>
            <w:top w:val="single" w:color="auto" w:sz="4" w:space="1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-224612489"/>
            <w:placeholder>
              <w:docPart w:val="19DB638705014D6DBCCDD5DCE8884418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>
            <w:rPr>
              <w:sz w:val="16"/>
              <w:szCs w:val="16"/>
            </w:rPr>
          </w:sdtEndPr>
          <w:sdtContent>
            <w:r>
              <w:rPr>
                <w:sz w:val="16"/>
                <w:szCs w:val="16"/>
              </w:rPr>
              <w:t>v1-1_06/12/2022</w:t>
            </w:r>
          </w:sdtContent>
        </w:sdt>
        <w:r>
          <w:rPr>
            <w:rFonts w:cs="Times New Roman"/>
            <w:sz w:val="16"/>
            <w:szCs w:val="16"/>
          </w:rPr>
          <w:tab/>
        </w:r>
        <w:r>
          <w:rPr>
            <w:rFonts w:cs="Times New Roman"/>
            <w:sz w:val="16"/>
            <w:szCs w:val="16"/>
          </w:rPr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2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132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85E2A64"/>
    <w:multiLevelType w:val="multilevel"/>
    <w:tmpl w:val="085E2A64"/>
    <w:lvl w:ilvl="0" w:tentative="0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15410A0B"/>
    <w:multiLevelType w:val="multilevel"/>
    <w:tmpl w:val="15410A0B"/>
    <w:lvl w:ilvl="0" w:tentative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entative="0">
      <w:start w:val="1"/>
      <w:numFmt w:val="lowerRoman"/>
      <w:lvlText w:val="%2."/>
      <w:lvlJc w:val="righ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79338D"/>
    <w:multiLevelType w:val="multilevel"/>
    <w:tmpl w:val="2D79338D"/>
    <w:lvl w:ilvl="0" w:tentative="0">
      <w:start w:val="1"/>
      <w:numFmt w:val="bullet"/>
      <w:lvlText w:val=""/>
      <w:lvlJc w:val="left"/>
      <w:pPr>
        <w:ind w:left="72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cumentProtection w:enforcement="0"/>
  <w:defaultTabStop w:val="720"/>
  <w:evenAndOddHeaders w:val="1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TA1MTA3sDCzNLGwMDZR0lEKTi0uzszPAykwtKwFACRTja0tAAAA"/>
    <w:docVar w:name="commondata" w:val="eyJoZGlkIjoiZDExODU4OTgyZTZjYjg0YzUzNzA1YzUxMmJhYmJhYWUifQ=="/>
  </w:docVars>
  <w:rsids>
    <w:rsidRoot w:val="002F29A7"/>
    <w:rsid w:val="000055D1"/>
    <w:rsid w:val="00013528"/>
    <w:rsid w:val="00027E5C"/>
    <w:rsid w:val="00032106"/>
    <w:rsid w:val="00043C57"/>
    <w:rsid w:val="00062C35"/>
    <w:rsid w:val="0008332A"/>
    <w:rsid w:val="00090E7C"/>
    <w:rsid w:val="000911A1"/>
    <w:rsid w:val="000975D4"/>
    <w:rsid w:val="000A25A6"/>
    <w:rsid w:val="000A2CA2"/>
    <w:rsid w:val="000B228F"/>
    <w:rsid w:val="000B26D5"/>
    <w:rsid w:val="000C5280"/>
    <w:rsid w:val="000D64E2"/>
    <w:rsid w:val="000F5373"/>
    <w:rsid w:val="00111A8B"/>
    <w:rsid w:val="00111E72"/>
    <w:rsid w:val="00123874"/>
    <w:rsid w:val="0012456E"/>
    <w:rsid w:val="00124D7A"/>
    <w:rsid w:val="0013280A"/>
    <w:rsid w:val="00134050"/>
    <w:rsid w:val="00151E14"/>
    <w:rsid w:val="00156A03"/>
    <w:rsid w:val="001600CB"/>
    <w:rsid w:val="00181C5B"/>
    <w:rsid w:val="0018395A"/>
    <w:rsid w:val="001A1865"/>
    <w:rsid w:val="001A1CEB"/>
    <w:rsid w:val="001B63FD"/>
    <w:rsid w:val="001C53A5"/>
    <w:rsid w:val="001D456C"/>
    <w:rsid w:val="001F02AF"/>
    <w:rsid w:val="001F6B1A"/>
    <w:rsid w:val="001F7D17"/>
    <w:rsid w:val="00211470"/>
    <w:rsid w:val="00212C5D"/>
    <w:rsid w:val="00240066"/>
    <w:rsid w:val="002459C7"/>
    <w:rsid w:val="00260CAD"/>
    <w:rsid w:val="00261910"/>
    <w:rsid w:val="002637DA"/>
    <w:rsid w:val="0027427F"/>
    <w:rsid w:val="002850A7"/>
    <w:rsid w:val="002875D3"/>
    <w:rsid w:val="002A08EC"/>
    <w:rsid w:val="002A22AD"/>
    <w:rsid w:val="002D6C29"/>
    <w:rsid w:val="002E50AB"/>
    <w:rsid w:val="002F29A7"/>
    <w:rsid w:val="00300F6E"/>
    <w:rsid w:val="003072A7"/>
    <w:rsid w:val="00315CD1"/>
    <w:rsid w:val="00333FA5"/>
    <w:rsid w:val="003355FA"/>
    <w:rsid w:val="00337CFE"/>
    <w:rsid w:val="00353E24"/>
    <w:rsid w:val="003648B0"/>
    <w:rsid w:val="0039482B"/>
    <w:rsid w:val="003C1922"/>
    <w:rsid w:val="003C46A3"/>
    <w:rsid w:val="003E25BD"/>
    <w:rsid w:val="003E5A30"/>
    <w:rsid w:val="003E6FE7"/>
    <w:rsid w:val="003E73D8"/>
    <w:rsid w:val="003F323F"/>
    <w:rsid w:val="003F695D"/>
    <w:rsid w:val="00464049"/>
    <w:rsid w:val="00467457"/>
    <w:rsid w:val="00473DBB"/>
    <w:rsid w:val="004831EC"/>
    <w:rsid w:val="00484193"/>
    <w:rsid w:val="004945E6"/>
    <w:rsid w:val="004C1D78"/>
    <w:rsid w:val="004E3825"/>
    <w:rsid w:val="004E5CE5"/>
    <w:rsid w:val="004E66A3"/>
    <w:rsid w:val="004F4C8C"/>
    <w:rsid w:val="00503EFD"/>
    <w:rsid w:val="0053540B"/>
    <w:rsid w:val="005402DA"/>
    <w:rsid w:val="0056508F"/>
    <w:rsid w:val="00571A4E"/>
    <w:rsid w:val="00573735"/>
    <w:rsid w:val="005D1DA1"/>
    <w:rsid w:val="005E3554"/>
    <w:rsid w:val="005F379E"/>
    <w:rsid w:val="005F4237"/>
    <w:rsid w:val="005F68F7"/>
    <w:rsid w:val="0060042F"/>
    <w:rsid w:val="0062445E"/>
    <w:rsid w:val="006376C4"/>
    <w:rsid w:val="00643394"/>
    <w:rsid w:val="00656D3B"/>
    <w:rsid w:val="00661AF9"/>
    <w:rsid w:val="0068140D"/>
    <w:rsid w:val="00687F58"/>
    <w:rsid w:val="00695221"/>
    <w:rsid w:val="006974C4"/>
    <w:rsid w:val="006A0F25"/>
    <w:rsid w:val="006A3EDD"/>
    <w:rsid w:val="006A6FB3"/>
    <w:rsid w:val="006B18BC"/>
    <w:rsid w:val="006C75E1"/>
    <w:rsid w:val="006E1245"/>
    <w:rsid w:val="006F4806"/>
    <w:rsid w:val="006F4854"/>
    <w:rsid w:val="006F7C0A"/>
    <w:rsid w:val="00705071"/>
    <w:rsid w:val="0070795A"/>
    <w:rsid w:val="00714E53"/>
    <w:rsid w:val="0072092E"/>
    <w:rsid w:val="00724E18"/>
    <w:rsid w:val="00730B38"/>
    <w:rsid w:val="00731C15"/>
    <w:rsid w:val="0073492C"/>
    <w:rsid w:val="007541DC"/>
    <w:rsid w:val="0075536A"/>
    <w:rsid w:val="00780C7F"/>
    <w:rsid w:val="00785D86"/>
    <w:rsid w:val="007A0D4A"/>
    <w:rsid w:val="007A268A"/>
    <w:rsid w:val="007C66AA"/>
    <w:rsid w:val="007D1DFD"/>
    <w:rsid w:val="007D23B0"/>
    <w:rsid w:val="007E7B23"/>
    <w:rsid w:val="008036A4"/>
    <w:rsid w:val="00810A94"/>
    <w:rsid w:val="008231FF"/>
    <w:rsid w:val="00823DE9"/>
    <w:rsid w:val="0083339D"/>
    <w:rsid w:val="00836E71"/>
    <w:rsid w:val="0084479A"/>
    <w:rsid w:val="00860A76"/>
    <w:rsid w:val="00866C00"/>
    <w:rsid w:val="00866CAD"/>
    <w:rsid w:val="00867B61"/>
    <w:rsid w:val="0088239C"/>
    <w:rsid w:val="0088577C"/>
    <w:rsid w:val="00886553"/>
    <w:rsid w:val="008948A7"/>
    <w:rsid w:val="008A120A"/>
    <w:rsid w:val="008C68C0"/>
    <w:rsid w:val="008C6C99"/>
    <w:rsid w:val="008D4457"/>
    <w:rsid w:val="008E4229"/>
    <w:rsid w:val="008F0473"/>
    <w:rsid w:val="00901C27"/>
    <w:rsid w:val="00917A5B"/>
    <w:rsid w:val="00926BF3"/>
    <w:rsid w:val="009607F6"/>
    <w:rsid w:val="00960F49"/>
    <w:rsid w:val="00967FD8"/>
    <w:rsid w:val="00971458"/>
    <w:rsid w:val="009905B3"/>
    <w:rsid w:val="009A2CF0"/>
    <w:rsid w:val="009A4ACC"/>
    <w:rsid w:val="009B3D69"/>
    <w:rsid w:val="009C6561"/>
    <w:rsid w:val="009E6D2A"/>
    <w:rsid w:val="009E7E54"/>
    <w:rsid w:val="009F093C"/>
    <w:rsid w:val="00A06710"/>
    <w:rsid w:val="00A113A6"/>
    <w:rsid w:val="00A11D73"/>
    <w:rsid w:val="00A3355D"/>
    <w:rsid w:val="00A60960"/>
    <w:rsid w:val="00A8285E"/>
    <w:rsid w:val="00A903E4"/>
    <w:rsid w:val="00A93A6A"/>
    <w:rsid w:val="00AA4DCA"/>
    <w:rsid w:val="00AA7FF5"/>
    <w:rsid w:val="00AB1C65"/>
    <w:rsid w:val="00AB6A52"/>
    <w:rsid w:val="00AC6439"/>
    <w:rsid w:val="00AD6E0D"/>
    <w:rsid w:val="00AE20D9"/>
    <w:rsid w:val="00AE3CC5"/>
    <w:rsid w:val="00AE719F"/>
    <w:rsid w:val="00AF0ED4"/>
    <w:rsid w:val="00AF5CCB"/>
    <w:rsid w:val="00B04998"/>
    <w:rsid w:val="00B21D93"/>
    <w:rsid w:val="00B2215F"/>
    <w:rsid w:val="00B25313"/>
    <w:rsid w:val="00B26548"/>
    <w:rsid w:val="00B32A58"/>
    <w:rsid w:val="00B36BA5"/>
    <w:rsid w:val="00B372A2"/>
    <w:rsid w:val="00B4322F"/>
    <w:rsid w:val="00B45B25"/>
    <w:rsid w:val="00B47C92"/>
    <w:rsid w:val="00B508EA"/>
    <w:rsid w:val="00B54294"/>
    <w:rsid w:val="00B61467"/>
    <w:rsid w:val="00B766E4"/>
    <w:rsid w:val="00B9532D"/>
    <w:rsid w:val="00B97564"/>
    <w:rsid w:val="00BA0312"/>
    <w:rsid w:val="00BA17D2"/>
    <w:rsid w:val="00BE2654"/>
    <w:rsid w:val="00C04052"/>
    <w:rsid w:val="00C272E7"/>
    <w:rsid w:val="00C44BAA"/>
    <w:rsid w:val="00C56840"/>
    <w:rsid w:val="00C64789"/>
    <w:rsid w:val="00C7379A"/>
    <w:rsid w:val="00C83F9C"/>
    <w:rsid w:val="00CB5D12"/>
    <w:rsid w:val="00CB661F"/>
    <w:rsid w:val="00CC1CB6"/>
    <w:rsid w:val="00CC46FB"/>
    <w:rsid w:val="00CD0A37"/>
    <w:rsid w:val="00CE6C92"/>
    <w:rsid w:val="00CF3CA3"/>
    <w:rsid w:val="00D01AA4"/>
    <w:rsid w:val="00D260B4"/>
    <w:rsid w:val="00D3402E"/>
    <w:rsid w:val="00D42E61"/>
    <w:rsid w:val="00D431B2"/>
    <w:rsid w:val="00D4371F"/>
    <w:rsid w:val="00D50376"/>
    <w:rsid w:val="00D53F87"/>
    <w:rsid w:val="00D645BA"/>
    <w:rsid w:val="00D74DB8"/>
    <w:rsid w:val="00DA2DC4"/>
    <w:rsid w:val="00DC080F"/>
    <w:rsid w:val="00DC70DB"/>
    <w:rsid w:val="00DD10D7"/>
    <w:rsid w:val="00DD68D3"/>
    <w:rsid w:val="00DD69A9"/>
    <w:rsid w:val="00DE24AA"/>
    <w:rsid w:val="00DF186F"/>
    <w:rsid w:val="00DF7910"/>
    <w:rsid w:val="00E05431"/>
    <w:rsid w:val="00E143C3"/>
    <w:rsid w:val="00E17278"/>
    <w:rsid w:val="00E25721"/>
    <w:rsid w:val="00E433D9"/>
    <w:rsid w:val="00E51D40"/>
    <w:rsid w:val="00E61E22"/>
    <w:rsid w:val="00E672A6"/>
    <w:rsid w:val="00E83535"/>
    <w:rsid w:val="00E90269"/>
    <w:rsid w:val="00EA07BB"/>
    <w:rsid w:val="00EB0383"/>
    <w:rsid w:val="00EB54F4"/>
    <w:rsid w:val="00EE7577"/>
    <w:rsid w:val="00EF14E5"/>
    <w:rsid w:val="00EF7AD8"/>
    <w:rsid w:val="00F11444"/>
    <w:rsid w:val="00F46ABB"/>
    <w:rsid w:val="00F50845"/>
    <w:rsid w:val="00F61D6C"/>
    <w:rsid w:val="00F63EE0"/>
    <w:rsid w:val="00FB2CD7"/>
    <w:rsid w:val="00FB6D00"/>
    <w:rsid w:val="00FB6EF4"/>
    <w:rsid w:val="00FF04E3"/>
    <w:rsid w:val="21A214CB"/>
    <w:rsid w:val="27E34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n-AU" w:eastAsia="en-US" w:bidi="ar-SA"/>
    </w:rPr>
  </w:style>
  <w:style w:type="paragraph" w:styleId="2">
    <w:name w:val="heading 1"/>
    <w:basedOn w:val="1"/>
    <w:next w:val="1"/>
    <w:link w:val="15"/>
    <w:qFormat/>
    <w:uiPriority w:val="9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paragraph" w:styleId="3">
    <w:name w:val="heading 2"/>
    <w:basedOn w:val="1"/>
    <w:next w:val="1"/>
    <w:link w:val="16"/>
    <w:unhideWhenUsed/>
    <w:qFormat/>
    <w:uiPriority w:val="9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597" w:themeColor="accent1" w:themeShade="BF"/>
      <w:sz w:val="26"/>
      <w:szCs w:val="26"/>
    </w:rPr>
  </w:style>
  <w:style w:type="paragraph" w:styleId="4">
    <w:name w:val="heading 3"/>
    <w:basedOn w:val="1"/>
    <w:next w:val="1"/>
    <w:link w:val="20"/>
    <w:unhideWhenUsed/>
    <w:qFormat/>
    <w:uiPriority w:val="9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203864" w:themeColor="accent1" w:themeShade="80"/>
      <w:sz w:val="24"/>
      <w:szCs w:val="24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link w:val="23"/>
    <w:unhideWhenUsed/>
    <w:qFormat/>
    <w:uiPriority w:val="99"/>
    <w:pPr>
      <w:spacing w:line="240" w:lineRule="auto"/>
    </w:pPr>
    <w:rPr>
      <w:sz w:val="20"/>
      <w:szCs w:val="20"/>
    </w:rPr>
  </w:style>
  <w:style w:type="paragraph" w:styleId="6">
    <w:name w:val="Balloon Text"/>
    <w:basedOn w:val="1"/>
    <w:link w:val="17"/>
    <w:semiHidden/>
    <w:unhideWhenUsed/>
    <w:qFormat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7">
    <w:name w:val="footer"/>
    <w:basedOn w:val="1"/>
    <w:link w:val="22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8">
    <w:name w:val="header"/>
    <w:basedOn w:val="1"/>
    <w:link w:val="21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9">
    <w:name w:val="annotation subject"/>
    <w:basedOn w:val="5"/>
    <w:next w:val="5"/>
    <w:link w:val="24"/>
    <w:semiHidden/>
    <w:unhideWhenUsed/>
    <w:qFormat/>
    <w:uiPriority w:val="99"/>
    <w:rPr>
      <w:b/>
      <w:bCs/>
    </w:rPr>
  </w:style>
  <w:style w:type="table" w:styleId="11">
    <w:name w:val="Table Grid"/>
    <w:basedOn w:val="10"/>
    <w:qFormat/>
    <w:uiPriority w:val="39"/>
    <w:pPr>
      <w:spacing w:before="120" w:after="120" w:line="276" w:lineRule="auto"/>
      <w:ind w:left="792" w:right="101" w:hanging="360"/>
    </w:pPr>
    <w:rPr>
      <w:color w:val="0D0D0D" w:themeColor="text1" w:themeTint="F2"/>
      <w:sz w:val="24"/>
      <w14:textFill>
        <w14:solidFill>
          <w14:schemeClr w14:val="tx1">
            <w14:lumMod w14:val="95000"/>
            <w14:lumOff w14:val="5000"/>
          </w14:schemeClr>
        </w14:solidFill>
      </w14:textFill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Hyperlink"/>
    <w:basedOn w:val="12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14">
    <w:name w:val="annotation reference"/>
    <w:basedOn w:val="12"/>
    <w:semiHidden/>
    <w:unhideWhenUsed/>
    <w:qFormat/>
    <w:uiPriority w:val="99"/>
    <w:rPr>
      <w:sz w:val="16"/>
      <w:szCs w:val="16"/>
    </w:rPr>
  </w:style>
  <w:style w:type="character" w:customStyle="1" w:styleId="15">
    <w:name w:val="Heading 1 Char"/>
    <w:basedOn w:val="12"/>
    <w:link w:val="2"/>
    <w:qFormat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  <w:lang w:val="en-AU"/>
    </w:rPr>
  </w:style>
  <w:style w:type="character" w:customStyle="1" w:styleId="16">
    <w:name w:val="Heading 2 Char"/>
    <w:basedOn w:val="12"/>
    <w:link w:val="3"/>
    <w:qFormat/>
    <w:uiPriority w:val="9"/>
    <w:rPr>
      <w:rFonts w:asciiTheme="majorHAnsi" w:hAnsiTheme="majorHAnsi" w:eastAsiaTheme="majorEastAsia" w:cstheme="majorBidi"/>
      <w:color w:val="2F5597" w:themeColor="accent1" w:themeShade="BF"/>
      <w:sz w:val="26"/>
      <w:szCs w:val="26"/>
      <w:lang w:val="en-AU"/>
    </w:rPr>
  </w:style>
  <w:style w:type="character" w:customStyle="1" w:styleId="17">
    <w:name w:val="Balloon Text Char"/>
    <w:basedOn w:val="12"/>
    <w:link w:val="6"/>
    <w:semiHidden/>
    <w:qFormat/>
    <w:uiPriority w:val="99"/>
    <w:rPr>
      <w:rFonts w:ascii="Segoe UI" w:hAnsi="Segoe UI" w:cs="Segoe UI"/>
      <w:sz w:val="18"/>
      <w:szCs w:val="18"/>
      <w:lang w:val="en-AU"/>
    </w:rPr>
  </w:style>
  <w:style w:type="paragraph" w:styleId="18">
    <w:name w:val="List Paragraph"/>
    <w:basedOn w:val="1"/>
    <w:link w:val="19"/>
    <w:qFormat/>
    <w:uiPriority w:val="34"/>
    <w:pPr>
      <w:ind w:left="720"/>
      <w:contextualSpacing/>
    </w:pPr>
  </w:style>
  <w:style w:type="character" w:customStyle="1" w:styleId="19">
    <w:name w:val="List Paragraph Char"/>
    <w:basedOn w:val="12"/>
    <w:link w:val="18"/>
    <w:qFormat/>
    <w:uiPriority w:val="34"/>
    <w:rPr>
      <w:lang w:val="en-AU"/>
    </w:rPr>
  </w:style>
  <w:style w:type="character" w:customStyle="1" w:styleId="20">
    <w:name w:val="Heading 3 Char"/>
    <w:basedOn w:val="12"/>
    <w:link w:val="4"/>
    <w:qFormat/>
    <w:uiPriority w:val="9"/>
    <w:rPr>
      <w:rFonts w:asciiTheme="majorHAnsi" w:hAnsiTheme="majorHAnsi" w:eastAsiaTheme="majorEastAsia" w:cstheme="majorBidi"/>
      <w:color w:val="203864" w:themeColor="accent1" w:themeShade="80"/>
      <w:sz w:val="24"/>
      <w:szCs w:val="24"/>
      <w:lang w:val="en-AU"/>
    </w:rPr>
  </w:style>
  <w:style w:type="character" w:customStyle="1" w:styleId="21">
    <w:name w:val="Header Char"/>
    <w:basedOn w:val="12"/>
    <w:link w:val="8"/>
    <w:qFormat/>
    <w:uiPriority w:val="99"/>
    <w:rPr>
      <w:lang w:val="en-AU"/>
    </w:rPr>
  </w:style>
  <w:style w:type="character" w:customStyle="1" w:styleId="22">
    <w:name w:val="Footer Char"/>
    <w:basedOn w:val="12"/>
    <w:link w:val="7"/>
    <w:qFormat/>
    <w:uiPriority w:val="99"/>
    <w:rPr>
      <w:lang w:val="en-AU"/>
    </w:rPr>
  </w:style>
  <w:style w:type="character" w:customStyle="1" w:styleId="23">
    <w:name w:val="Comment Text Char"/>
    <w:basedOn w:val="12"/>
    <w:link w:val="5"/>
    <w:qFormat/>
    <w:uiPriority w:val="99"/>
    <w:rPr>
      <w:sz w:val="20"/>
      <w:szCs w:val="20"/>
      <w:lang w:val="en-AU"/>
    </w:rPr>
  </w:style>
  <w:style w:type="character" w:customStyle="1" w:styleId="24">
    <w:name w:val="Comment Subject Char"/>
    <w:basedOn w:val="23"/>
    <w:link w:val="9"/>
    <w:semiHidden/>
    <w:qFormat/>
    <w:uiPriority w:val="99"/>
    <w:rPr>
      <w:b/>
      <w:bCs/>
      <w:sz w:val="20"/>
      <w:szCs w:val="20"/>
      <w:lang w:val="en-AU"/>
    </w:rPr>
  </w:style>
  <w:style w:type="character" w:customStyle="1" w:styleId="25">
    <w:name w:val="Unresolved Mention"/>
    <w:basedOn w:val="12"/>
    <w:semiHidden/>
    <w:unhideWhenUsed/>
    <w:qFormat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8" Type="http://schemas.openxmlformats.org/officeDocument/2006/relationships/glossaryDocument" Target="glossary/document.xml"/><Relationship Id="rId17" Type="http://schemas.openxmlformats.org/officeDocument/2006/relationships/fontTable" Target="fontTable.xml"/><Relationship Id="rId16" Type="http://schemas.openxmlformats.org/officeDocument/2006/relationships/customXml" Target="../customXml/item3.xml"/><Relationship Id="rId15" Type="http://schemas.openxmlformats.org/officeDocument/2006/relationships/customXml" Target="../customXml/item2.xml"/><Relationship Id="rId14" Type="http://schemas.openxmlformats.org/officeDocument/2006/relationships/customXml" Target="../customXml/item1.xml"/><Relationship Id="rId13" Type="http://schemas.openxmlformats.org/officeDocument/2006/relationships/numbering" Target="numbering.xml"/><Relationship Id="rId12" Type="http://schemas.openxmlformats.org/officeDocument/2006/relationships/image" Target="media/image1.png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035ABE6653E044D0B2FD013128396CBC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D3DD23B-310C-42A7-92DA-C5A8647F0136}"/>
      </w:docPartPr>
      <w:docPartBody>
        <w:p>
          <w:pPr>
            <w:pStyle w:val="5"/>
          </w:pPr>
          <w:r>
            <w:rPr>
              <w:rStyle w:val="4"/>
            </w:rPr>
            <w:t>[Status]</w:t>
          </w:r>
        </w:p>
      </w:docPartBody>
    </w:docPart>
    <w:docPart>
      <w:docPartPr>
        <w:name w:val="19DB638705014D6DBCCDD5DCE8884418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B8829A8-D268-44C1-AE0B-2B74C3AE1101}"/>
      </w:docPartPr>
      <w:docPartBody>
        <w:p>
          <w:pPr>
            <w:pStyle w:val="6"/>
          </w:pPr>
          <w:r>
            <w:rPr>
              <w:rStyle w:val="4"/>
            </w:rPr>
            <w:t>[Status]</w:t>
          </w:r>
        </w:p>
      </w:docPartBody>
    </w:docPart>
  </w:docParts>
</w:glossaryDocument>
</file>

<file path=word/glossary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glossary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3D71"/>
    <w:rsid w:val="00283D71"/>
    <w:rsid w:val="003015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uiPriority="1" w:name="Default Paragraph Font"/>
    <w:lsdException w:qFormat="1" w:uiPriority="99" w:name="Normal Table"/>
    <w:lsdException w:unhideWhenUsed="0" w:uiPriority="99" w:semiHidden="0" w:name="Placeholder Text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Placeholder Text"/>
    <w:basedOn w:val="2"/>
    <w:uiPriority w:val="99"/>
    <w:rPr>
      <w:color w:val="808080"/>
    </w:rPr>
  </w:style>
  <w:style w:type="paragraph" w:customStyle="1" w:styleId="5">
    <w:name w:val="035ABE6653E044D0B2FD013128396CBC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paragraph" w:customStyle="1" w:styleId="6">
    <w:name w:val="19DB638705014D6DBCCDD5DCE8884418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</w:styl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3" ma:contentTypeDescription="Create a new document." ma:contentTypeScope="" ma:versionID="2c13e37b52abbdf77c3dc58426e18bf1">
  <xsd:schema xmlns:xsd="http://www.w3.org/2001/XMLSchema" xmlns:xs="http://www.w3.org/2001/XMLSchema" xmlns:p="http://schemas.microsoft.com/office/2006/metadata/properties" xmlns:ns2="d76099e6-3a79-4c20-bfb8-d6d46c0c67f0" xmlns:ns3="6cecd733-34d5-425b-8041-9161b6f347cb" targetNamespace="http://schemas.microsoft.com/office/2006/metadata/properties" ma:root="true" ma:fieldsID="f0803594f28d9b61dd6cbe04d1a5cab0" ns2:_="" ns3:_=""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rief_x0020_description xmlns="d76099e6-3a79-4c20-bfb8-d6d46c0c67f0" xsi:nil="true"/>
    <SharedWithUsers xmlns="6cecd733-34d5-425b-8041-9161b6f347cb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DF2250AB-2EE7-43D5-A1F4-D5F546743DFC}">
  <ds:schemaRefs/>
</ds:datastoreItem>
</file>

<file path=customXml/itemProps2.xml><?xml version="1.0" encoding="utf-8"?>
<ds:datastoreItem xmlns:ds="http://schemas.openxmlformats.org/officeDocument/2006/customXml" ds:itemID="{C64D90C5-F3F1-46A2-8517-753D733A26F1}">
  <ds:schemaRefs/>
</ds:datastoreItem>
</file>

<file path=customXml/itemProps3.xml><?xml version="1.0" encoding="utf-8"?>
<ds:datastoreItem xmlns:ds="http://schemas.openxmlformats.org/officeDocument/2006/customXml" ds:itemID="{68184E21-57A0-4A89-B4C4-0DE0729C0BB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CSTC Pty Ltd (RTO #0699)</Company>
  <Pages>4</Pages>
  <Words>739</Words>
  <Characters>4134</Characters>
  <Lines>36</Lines>
  <Paragraphs>10</Paragraphs>
  <TotalTime>1</TotalTime>
  <ScaleCrop>false</ScaleCrop>
  <LinksUpToDate>false</LinksUpToDate>
  <CharactersWithSpaces>4799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category>CPC</cp:category>
  <dcterms:created xsi:type="dcterms:W3CDTF">2022-12-06T03:38:00Z</dcterms:created>
  <dc:creator>TotalVET Training Resources</dc:creator>
  <cp:lastModifiedBy>Administrator</cp:lastModifiedBy>
  <dcterms:modified xsi:type="dcterms:W3CDTF">2023-04-12T03:44:01Z</dcterms:modified>
  <dc:subject>Manage work health and safety in the building and construction workplace</dc:subject>
  <dc:title>CPCCBC4002</dc:title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  <property fmtid="{D5CDD505-2E9C-101B-9397-08002B2CF9AE}" pid="3" name="xd_Signature">
    <vt:bool>false</vt:bool>
  </property>
  <property fmtid="{D5CDD505-2E9C-101B-9397-08002B2CF9AE}" pid="4" name="xd_ProgID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KSOProductBuildVer">
    <vt:lpwstr>2052-11.1.0.13703</vt:lpwstr>
  </property>
  <property fmtid="{D5CDD505-2E9C-101B-9397-08002B2CF9AE}" pid="10" name="ICV">
    <vt:lpwstr>4FC5502D4377475BADEE9DC0F0D5340D</vt:lpwstr>
  </property>
</Properties>
</file>