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A2998" w14:textId="1D06BC34" w:rsidR="00AA0F01" w:rsidRPr="00AA0F01" w:rsidRDefault="00E84316" w:rsidP="007639BF">
      <w:pPr>
        <w:keepNext/>
        <w:keepLines/>
        <w:spacing w:before="120" w:after="0" w:line="360" w:lineRule="auto"/>
        <w:jc w:val="both"/>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2966A6">
        <w:trPr>
          <w:trHeight w:val="288"/>
        </w:trPr>
        <w:tc>
          <w:tcPr>
            <w:tcW w:w="14087" w:type="dxa"/>
            <w:gridSpan w:val="4"/>
            <w:shd w:val="clear" w:color="auto" w:fill="FFFFFF"/>
            <w:vAlign w:val="center"/>
          </w:tcPr>
          <w:p w14:paraId="5DCA6610" w14:textId="24F2AC2D"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BF0646">
              <w:rPr>
                <w:rFonts w:ascii="Arial" w:eastAsia="Times New Roman" w:hAnsi="Arial" w:cs="Arial"/>
                <w:bCs/>
                <w:color w:val="44546A"/>
                <w:sz w:val="20"/>
                <w:szCs w:val="20"/>
              </w:rPr>
              <w:t>Rockpool Pelican Waters Age care centre</w:t>
            </w:r>
          </w:p>
        </w:tc>
      </w:tr>
      <w:tr w:rsidR="002966A6" w:rsidRPr="00AA0F01" w14:paraId="434C5A20" w14:textId="77777777" w:rsidTr="00A263EB">
        <w:trPr>
          <w:trHeight w:val="288"/>
        </w:trPr>
        <w:tc>
          <w:tcPr>
            <w:tcW w:w="7043" w:type="dxa"/>
            <w:gridSpan w:val="2"/>
            <w:shd w:val="clear" w:color="auto" w:fill="FFFFFF"/>
            <w:vAlign w:val="center"/>
          </w:tcPr>
          <w:p w14:paraId="15F78738" w14:textId="468DA25D" w:rsidR="002966A6" w:rsidRPr="003029DA"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Pr>
                <w:rFonts w:ascii="Arial" w:eastAsia="Times New Roman" w:hAnsi="Arial" w:cs="Arial"/>
                <w:b/>
                <w:color w:val="000000"/>
                <w:sz w:val="20"/>
                <w:szCs w:val="20"/>
              </w:rPr>
              <w:t>Project address:</w:t>
            </w:r>
            <w:r w:rsidR="003029DA">
              <w:rPr>
                <w:rFonts w:ascii="Arial" w:eastAsia="Times New Roman" w:hAnsi="Arial" w:cs="Arial"/>
                <w:bCs/>
                <w:color w:val="000000"/>
                <w:sz w:val="20"/>
                <w:szCs w:val="20"/>
              </w:rPr>
              <w:t xml:space="preserve"> </w:t>
            </w:r>
            <w:r w:rsidR="00BF0646">
              <w:rPr>
                <w:rFonts w:ascii="Arial" w:eastAsia="Times New Roman" w:hAnsi="Arial" w:cs="Arial"/>
                <w:bCs/>
                <w:color w:val="000000"/>
                <w:sz w:val="20"/>
                <w:szCs w:val="20"/>
              </w:rPr>
              <w:t>Lot 90 Spitfire banks drive, pelican waters QLD</w:t>
            </w:r>
          </w:p>
        </w:tc>
        <w:tc>
          <w:tcPr>
            <w:tcW w:w="7044" w:type="dxa"/>
            <w:gridSpan w:val="2"/>
            <w:shd w:val="clear" w:color="auto" w:fill="FFFFFF"/>
            <w:vAlign w:val="center"/>
          </w:tcPr>
          <w:p w14:paraId="7CB4E89A" w14:textId="340F5B16" w:rsidR="002966A6" w:rsidRPr="003029DA"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sidRPr="002966A6">
              <w:rPr>
                <w:rFonts w:ascii="Arial" w:eastAsia="Times New Roman" w:hAnsi="Arial" w:cs="Arial"/>
                <w:b/>
                <w:color w:val="000000"/>
                <w:sz w:val="20"/>
                <w:szCs w:val="20"/>
              </w:rPr>
              <w:t>Site Plan</w:t>
            </w:r>
            <w:r w:rsidR="00356CD0">
              <w:rPr>
                <w:rFonts w:ascii="Arial" w:eastAsia="Times New Roman" w:hAnsi="Arial" w:cs="Arial"/>
                <w:b/>
                <w:color w:val="000000"/>
                <w:sz w:val="20"/>
                <w:szCs w:val="20"/>
              </w:rPr>
              <w:t>s</w:t>
            </w:r>
            <w:r w:rsidRPr="002966A6">
              <w:rPr>
                <w:rFonts w:ascii="Arial" w:eastAsia="Times New Roman" w:hAnsi="Arial" w:cs="Arial"/>
                <w:b/>
                <w:color w:val="000000"/>
                <w:sz w:val="20"/>
                <w:szCs w:val="20"/>
              </w:rPr>
              <w:t xml:space="preserve"> attached:</w:t>
            </w:r>
            <w:r w:rsidR="003029DA">
              <w:rPr>
                <w:rFonts w:ascii="Arial" w:eastAsia="Times New Roman" w:hAnsi="Arial" w:cs="Arial"/>
                <w:bCs/>
                <w:color w:val="000000"/>
                <w:sz w:val="20"/>
                <w:szCs w:val="20"/>
              </w:rPr>
              <w:t xml:space="preserve"> </w:t>
            </w:r>
            <w:r w:rsidR="00BF0646">
              <w:rPr>
                <w:rFonts w:ascii="Arial" w:eastAsia="Times New Roman" w:hAnsi="Arial" w:cs="Arial"/>
                <w:bCs/>
                <w:color w:val="000000"/>
                <w:sz w:val="20"/>
                <w:szCs w:val="20"/>
              </w:rPr>
              <w:t>Yes</w:t>
            </w:r>
          </w:p>
        </w:tc>
      </w:tr>
      <w:tr w:rsidR="00AA0F01" w:rsidRPr="008045D9" w14:paraId="15F0CB51" w14:textId="77777777" w:rsidTr="002966A6">
        <w:trPr>
          <w:trHeight w:val="288"/>
        </w:trPr>
        <w:tc>
          <w:tcPr>
            <w:tcW w:w="14087" w:type="dxa"/>
            <w:gridSpan w:val="4"/>
            <w:shd w:val="clear" w:color="auto" w:fill="FFFFFF"/>
            <w:vAlign w:val="center"/>
          </w:tcPr>
          <w:p w14:paraId="5F8F4256" w14:textId="47B3F567"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BF0646">
              <w:rPr>
                <w:rFonts w:ascii="Arial" w:eastAsia="Times New Roman" w:hAnsi="Arial" w:cs="Arial"/>
                <w:bCs/>
                <w:color w:val="44546A"/>
                <w:sz w:val="20"/>
                <w:szCs w:val="20"/>
              </w:rPr>
              <w:t>Rex Henderson</w:t>
            </w:r>
          </w:p>
        </w:tc>
      </w:tr>
      <w:tr w:rsidR="00AA0F01" w:rsidRPr="00AA0F01" w14:paraId="16ED7BD8" w14:textId="77777777" w:rsidTr="002966A6">
        <w:trPr>
          <w:trHeight w:val="288"/>
        </w:trPr>
        <w:tc>
          <w:tcPr>
            <w:tcW w:w="14087" w:type="dxa"/>
            <w:gridSpan w:val="4"/>
            <w:shd w:val="clear" w:color="auto" w:fill="FFFFFF"/>
            <w:vAlign w:val="center"/>
          </w:tcPr>
          <w:p w14:paraId="51B48F62" w14:textId="28879A8A"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BF0646">
              <w:rPr>
                <w:rFonts w:ascii="Arial" w:eastAsia="Times New Roman" w:hAnsi="Arial" w:cs="Arial"/>
                <w:bCs/>
                <w:color w:val="44546A"/>
                <w:sz w:val="20"/>
                <w:szCs w:val="20"/>
              </w:rPr>
              <w:t>08/08/2024</w:t>
            </w:r>
          </w:p>
        </w:tc>
      </w:tr>
      <w:tr w:rsidR="00FA6297" w:rsidRPr="00AA0F01" w14:paraId="324A4BF7" w14:textId="77777777" w:rsidTr="002966A6">
        <w:trPr>
          <w:trHeight w:val="2860"/>
        </w:trPr>
        <w:tc>
          <w:tcPr>
            <w:tcW w:w="14087" w:type="dxa"/>
            <w:gridSpan w:val="4"/>
            <w:shd w:val="clear" w:color="auto" w:fill="FFFFFF"/>
          </w:tcPr>
          <w:p w14:paraId="1D77B109" w14:textId="77777777" w:rsidR="00BF0646" w:rsidRDefault="00FA6297" w:rsidP="00BF0646">
            <w:pPr>
              <w:spacing w:before="100" w:beforeAutospacing="1" w:after="100" w:afterAutospacing="1" w:line="240" w:lineRule="auto"/>
              <w:rPr>
                <w:rFonts w:ascii="Times New Roman" w:eastAsia="Times New Roman" w:hAnsi="Times New Roman" w:cs="Times New Roman"/>
                <w:lang w:eastAsia="en-AU"/>
              </w:rPr>
            </w:pPr>
            <w:r>
              <w:rPr>
                <w:rFonts w:ascii="Arial" w:eastAsia="Times New Roman" w:hAnsi="Arial" w:cs="Arial"/>
                <w:b/>
                <w:color w:val="000000"/>
                <w:sz w:val="20"/>
                <w:szCs w:val="20"/>
              </w:rPr>
              <w:t>Description of project:</w:t>
            </w:r>
            <w:r w:rsidR="00BF0646" w:rsidRPr="000878C9">
              <w:rPr>
                <w:rFonts w:ascii="Times New Roman" w:eastAsia="Times New Roman" w:hAnsi="Times New Roman" w:cs="Times New Roman"/>
                <w:lang w:eastAsia="en-AU"/>
              </w:rPr>
              <w:t xml:space="preserve"> </w:t>
            </w:r>
          </w:p>
          <w:p w14:paraId="18A0D8CC" w14:textId="77777777" w:rsidR="00BF0646" w:rsidRDefault="00BF0646" w:rsidP="00BF0646">
            <w:pPr>
              <w:spacing w:before="100" w:beforeAutospacing="1" w:after="100" w:afterAutospacing="1" w:line="240" w:lineRule="auto"/>
              <w:rPr>
                <w:rFonts w:ascii="Times New Roman" w:eastAsia="Times New Roman" w:hAnsi="Times New Roman" w:cs="Times New Roman"/>
                <w:lang w:eastAsia="en-AU"/>
              </w:rPr>
            </w:pPr>
          </w:p>
          <w:p w14:paraId="4080D196" w14:textId="13CF73F9" w:rsidR="00BF0646" w:rsidRPr="000878C9" w:rsidRDefault="00BF0646" w:rsidP="00BF0646">
            <w:pPr>
              <w:spacing w:before="100" w:beforeAutospacing="1" w:after="100" w:afterAutospacing="1" w:line="240" w:lineRule="auto"/>
              <w:rPr>
                <w:rFonts w:ascii="Times New Roman" w:eastAsia="Times New Roman" w:hAnsi="Times New Roman" w:cs="Times New Roman"/>
                <w:lang w:eastAsia="en-AU"/>
              </w:rPr>
            </w:pPr>
            <w:r w:rsidRPr="000878C9">
              <w:rPr>
                <w:rFonts w:ascii="Times New Roman" w:eastAsia="Times New Roman" w:hAnsi="Times New Roman" w:cs="Times New Roman"/>
                <w:lang w:eastAsia="en-AU"/>
              </w:rPr>
              <w:t>This project involves the construction of a five-story age care facility located in Pelican Waters, Sunshine Coast, Queensland. The building will feature a common area on the ground floor, which includes a commercial kitchen. The facility will have 150 single bedrooms, each with an ensuite. Additionally, each level will have a common lounge room and dining room.</w:t>
            </w:r>
          </w:p>
          <w:p w14:paraId="004F8435" w14:textId="28F52FF3"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p>
          <w:p w14:paraId="1531CB20" w14:textId="5EC5E1EA" w:rsidR="00FA6297" w:rsidRPr="002D412E" w:rsidRDefault="00FA6297" w:rsidP="00FA629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tc>
      </w:tr>
      <w:tr w:rsidR="00C633D3" w:rsidRPr="00AA0F01" w14:paraId="7138B58E" w14:textId="77777777" w:rsidTr="002966A6">
        <w:trPr>
          <w:trHeight w:val="2860"/>
        </w:trPr>
        <w:tc>
          <w:tcPr>
            <w:tcW w:w="14087" w:type="dxa"/>
            <w:gridSpan w:val="4"/>
            <w:shd w:val="clear" w:color="auto" w:fill="FFFFFF"/>
          </w:tcPr>
          <w:p w14:paraId="6381E5A7"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356CD0">
              <w:rPr>
                <w:rFonts w:ascii="Arial" w:eastAsia="Times New Roman" w:hAnsi="Arial" w:cs="Arial"/>
                <w:b/>
                <w:color w:val="000000"/>
                <w:sz w:val="20"/>
                <w:szCs w:val="20"/>
              </w:rPr>
              <w:t>, Class and Climate Zone Compliance (</w:t>
            </w:r>
            <w:r w:rsidR="00356CD0" w:rsidRPr="00356CD0">
              <w:rPr>
                <w:rFonts w:ascii="Arial" w:eastAsia="Times New Roman" w:hAnsi="Arial" w:cs="Arial"/>
                <w:b/>
                <w:color w:val="000000"/>
                <w:sz w:val="20"/>
                <w:szCs w:val="20"/>
              </w:rPr>
              <w:t>NCC bushfire, high wind, earthquake and alpine environment requirements.</w:t>
            </w:r>
            <w:r w:rsidR="00356CD0">
              <w:rPr>
                <w:rFonts w:ascii="Arial" w:eastAsia="Times New Roman" w:hAnsi="Arial" w:cs="Arial"/>
                <w:b/>
                <w:color w:val="000000"/>
                <w:sz w:val="20"/>
                <w:szCs w:val="20"/>
              </w:rPr>
              <w:t>)</w:t>
            </w:r>
          </w:p>
          <w:p w14:paraId="6F56D510" w14:textId="4B0A3DC8" w:rsidR="003029DA" w:rsidRPr="003029DA" w:rsidRDefault="00BF0646"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BF0646">
              <w:rPr>
                <w:rFonts w:ascii="Arial" w:eastAsia="Times New Roman" w:hAnsi="Arial" w:cs="Arial"/>
                <w:bCs/>
                <w:color w:val="000000"/>
                <w:sz w:val="20"/>
                <w:szCs w:val="20"/>
              </w:rPr>
              <w:t>The Pelican Waters Age Care Facility is classified as Class "M" with moderate soil reactivity and is situated in Climate Zone 2, indicating warm and humid conditions. Compliance with NCC requirements includes using non-combustible materials for bushfire protection, ensuring structural integrity against high winds and low to moderate seismic activity, and implementing proper termite risk management. The site preparation and materials used will adhere to Australian Standards, ensuring safety and durability.</w:t>
            </w:r>
          </w:p>
        </w:tc>
      </w:tr>
      <w:tr w:rsidR="00AA0F01" w:rsidRPr="00AA0F01" w14:paraId="46465F79" w14:textId="77777777" w:rsidTr="002966A6">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2966A6">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DF7E8E">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2966A6">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6B7E9C98" w14:textId="024696C9" w:rsidR="00A13A49" w:rsidRPr="003029DA" w:rsidRDefault="00BF0646" w:rsidP="00BF0646">
            <w:pPr>
              <w:spacing w:beforeLines="60" w:before="144" w:afterLines="60" w:after="144" w:line="276" w:lineRule="auto"/>
              <w:ind w:firstLine="720"/>
              <w:rPr>
                <w:rFonts w:ascii="Arial" w:eastAsia="Times New Roman" w:hAnsi="Arial" w:cs="Arial"/>
                <w:bCs/>
                <w:color w:val="000000"/>
                <w:sz w:val="20"/>
                <w:szCs w:val="20"/>
              </w:rPr>
            </w:pPr>
            <w:r w:rsidRPr="00BF0646">
              <w:rPr>
                <w:rFonts w:ascii="Arial" w:eastAsia="Times New Roman" w:hAnsi="Arial" w:cs="Arial"/>
                <w:bCs/>
                <w:color w:val="000000"/>
                <w:sz w:val="20"/>
                <w:szCs w:val="20"/>
              </w:rPr>
              <w:t>as outlined in AS 3798-2007 (Guidelines on Earthworks for Commercial and Residential Developments). This involves conducting a geotechnical investigation to determine soil properties, implementing erosion and sediment control measures, and using suitable compaction techniques to achieve the required soil density and stability.</w:t>
            </w:r>
          </w:p>
        </w:tc>
        <w:tc>
          <w:tcPr>
            <w:tcW w:w="5812" w:type="dxa"/>
            <w:shd w:val="clear" w:color="auto" w:fill="auto"/>
          </w:tcPr>
          <w:p w14:paraId="3D6DEC1F" w14:textId="2124448F"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he compliant performance solution for earthworks includes conducting a geotechnical investigation, implementing erosion control measures, and using appropriate compaction techniques, in accordance with AS 3798-2007 standards. It also involves designing earth retaining structures per AS 4678-2002, installing drainage systems as per AS/NZS 3500.3:2018, and implementing termite management systems in line with AS 3660.1-2014.</w:t>
            </w:r>
          </w:p>
        </w:tc>
      </w:tr>
      <w:tr w:rsidR="003707F3" w:rsidRPr="00AA0F01" w14:paraId="2D8D2107" w14:textId="77777777" w:rsidTr="002966A6">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3707F3" w:rsidRPr="00AA0F01" w14:paraId="3AB89781" w14:textId="77777777" w:rsidTr="002966A6">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2966A6">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2"/>
            <w:shd w:val="clear" w:color="auto" w:fill="auto"/>
          </w:tcPr>
          <w:p w14:paraId="3E8539F4" w14:textId="31352D30"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NCC / Australian Standards requirements for earth retaining structures, as outlined in AS 4678-2002 (Earth-retaining structures), include designing structures to withstand lateral soil pressures and environmental loads.</w:t>
            </w:r>
          </w:p>
        </w:tc>
        <w:tc>
          <w:tcPr>
            <w:tcW w:w="5812" w:type="dxa"/>
            <w:shd w:val="clear" w:color="auto" w:fill="auto"/>
          </w:tcPr>
          <w:p w14:paraId="180D24A7" w14:textId="476448FB"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compliant performance solution for earth retaining structures involves designing them to meet AS 4678-2002 standards, using durable materials, proper reinforcement, and installing drainage systems to prevent hydrostatic pressure build-up. Additionally, it includes preparing stable foundations and conducting regular inspections to ensure ongoing stability and safety.</w:t>
            </w:r>
          </w:p>
        </w:tc>
      </w:tr>
      <w:tr w:rsidR="00A13A49" w:rsidRPr="00AA0F01" w14:paraId="5C8B504E" w14:textId="77777777" w:rsidTr="002966A6">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Drainage</w:t>
            </w:r>
          </w:p>
        </w:tc>
        <w:tc>
          <w:tcPr>
            <w:tcW w:w="5528" w:type="dxa"/>
            <w:gridSpan w:val="2"/>
            <w:shd w:val="clear" w:color="auto" w:fill="auto"/>
          </w:tcPr>
          <w:p w14:paraId="0E6EEF42" w14:textId="06AF36E5"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NCC / Australian Standards requirements for drainage, as outlined in AS/NZS 3500.3:2018 (Plumbing and drainage - Stormwater drainage), include designing and installing systems to effectively manage surface and subsurface water to prevent waterlogging, erosion, and structural damage.</w:t>
            </w:r>
          </w:p>
        </w:tc>
        <w:tc>
          <w:tcPr>
            <w:tcW w:w="5812" w:type="dxa"/>
            <w:shd w:val="clear" w:color="auto" w:fill="auto"/>
          </w:tcPr>
          <w:p w14:paraId="50DD802E" w14:textId="08B542D7"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A compliant performance solution for drainage ensures that systems are designed and maintained according to relevant regulations and standards, effectively managing water flow and preventing issues like flooding or erosion. This approach involves regular inspections, adherence to best practices, and the implementation of corrective measures as needed to maintain optimal performance.</w:t>
            </w:r>
          </w:p>
        </w:tc>
      </w:tr>
      <w:tr w:rsidR="002966A6" w:rsidRPr="00AA0F01" w14:paraId="39EC2E21" w14:textId="77777777" w:rsidTr="002966A6">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2966A6">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4BAA8146" w14:textId="32B6463F"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NCC and Australian Standards require buildings to be designed and constructed with measures to prevent termite infestation, including physical barriers and termite-resistant materials. Key standards like AS 3660.1, AS 3660.2, and AS 3660.3 outline the necessary prevention, installation, and maintenance procedures to manage termite risks effectively.</w:t>
            </w:r>
          </w:p>
        </w:tc>
        <w:tc>
          <w:tcPr>
            <w:tcW w:w="5812" w:type="dxa"/>
            <w:shd w:val="clear" w:color="auto" w:fill="auto"/>
          </w:tcPr>
          <w:p w14:paraId="672E2D39" w14:textId="0390E71B"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A compliant performance solution for termite risk management involves implementing physical barriers and termite-resistant materials according to NCC and Australian Standards, ensuring all construction practices meet regulatory requirements. Regular inspections and maintenance are also integral to maintaining compliance and protecting the building from termite damage.</w:t>
            </w:r>
          </w:p>
        </w:tc>
      </w:tr>
      <w:tr w:rsidR="00A13A49" w:rsidRPr="00AA0F01" w14:paraId="6AF51C9A" w14:textId="77777777" w:rsidTr="002966A6">
        <w:trPr>
          <w:trHeight w:val="1701"/>
        </w:trPr>
        <w:tc>
          <w:tcPr>
            <w:tcW w:w="2747" w:type="dxa"/>
            <w:shd w:val="clear" w:color="auto" w:fill="auto"/>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09AB672" w14:textId="65F2DBD2"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 xml:space="preserve">The NCC requires building materials to meet specific performance criteria for safety, durability, and suitability, adhering to relevant Australian Standards. Key standards, such as </w:t>
            </w:r>
            <w:proofErr w:type="spellStart"/>
            <w:r w:rsidRPr="00BF0646">
              <w:rPr>
                <w:rFonts w:ascii="Arial" w:eastAsia="Times New Roman" w:hAnsi="Arial" w:cs="Arial"/>
                <w:bCs/>
                <w:color w:val="000000"/>
                <w:sz w:val="20"/>
                <w:szCs w:val="20"/>
              </w:rPr>
              <w:t>AS</w:t>
            </w:r>
            <w:proofErr w:type="spellEnd"/>
            <w:r w:rsidRPr="00BF0646">
              <w:rPr>
                <w:rFonts w:ascii="Arial" w:eastAsia="Times New Roman" w:hAnsi="Arial" w:cs="Arial"/>
                <w:bCs/>
                <w:color w:val="000000"/>
                <w:sz w:val="20"/>
                <w:szCs w:val="20"/>
              </w:rPr>
              <w:t xml:space="preserve"> 1170, AS 3600, and AS 4100, provide detailed specifications to ensure materials are appropriate for their intended use and construction applications.</w:t>
            </w:r>
          </w:p>
        </w:tc>
        <w:tc>
          <w:tcPr>
            <w:tcW w:w="5812" w:type="dxa"/>
            <w:shd w:val="clear" w:color="auto" w:fill="auto"/>
          </w:tcPr>
          <w:p w14:paraId="1A55DC67" w14:textId="459D81F4"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A compliant performance solution for building materials ensures that they meet NCC requirements and Australian Standards for safety, durability, and suitability. This involves selecting materials that are tested and certified according to relevant standards and maintaining proper documentation to verify compliance.</w:t>
            </w:r>
          </w:p>
        </w:tc>
      </w:tr>
      <w:tr w:rsidR="00A13A49" w:rsidRPr="00AA0F01" w14:paraId="6EF066F8" w14:textId="77777777" w:rsidTr="002966A6">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r>
      <w:tr w:rsidR="00A13A49" w:rsidRPr="00AA0F01" w14:paraId="20C55D1C" w14:textId="77777777" w:rsidTr="002966A6">
        <w:trPr>
          <w:trHeight w:val="411"/>
        </w:trPr>
        <w:tc>
          <w:tcPr>
            <w:tcW w:w="14087" w:type="dxa"/>
            <w:gridSpan w:val="4"/>
            <w:shd w:val="clear" w:color="auto" w:fill="auto"/>
          </w:tcPr>
          <w:p w14:paraId="2954441A" w14:textId="1EEB23E8"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BF0646">
              <w:rPr>
                <w:rFonts w:ascii="Arial" w:eastAsia="Times New Roman" w:hAnsi="Arial" w:cs="Arial"/>
                <w:b/>
                <w:color w:val="000000"/>
                <w:sz w:val="20"/>
                <w:szCs w:val="20"/>
              </w:rPr>
              <w:t xml:space="preserve">      </w:t>
            </w:r>
            <w:r w:rsidR="00BF0646" w:rsidRPr="00BF0646">
              <w:rPr>
                <w:rFonts w:ascii="Arial" w:eastAsia="Times New Roman" w:hAnsi="Arial" w:cs="Arial"/>
                <w:bCs/>
                <w:color w:val="000000"/>
                <w:sz w:val="20"/>
                <w:szCs w:val="20"/>
              </w:rPr>
              <w:t>a Class "M" with moderate soil reactivity and is situated in Climate Zone 2</w:t>
            </w:r>
          </w:p>
        </w:tc>
      </w:tr>
      <w:tr w:rsidR="00A13A49" w:rsidRPr="00AA0F01" w14:paraId="3D869B6D" w14:textId="77777777" w:rsidTr="002966A6">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2966A6">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auto"/>
          </w:tcPr>
          <w:p w14:paraId="5EF86AF9" w14:textId="00CCAB29" w:rsidR="00A13A49"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primarily AS 2870 for residential buildings and AS 3600 for concrete structures. These standards cover site classification, design requirements, construction practices, and structural integrity to ensure safety and durability.</w:t>
            </w:r>
          </w:p>
        </w:tc>
        <w:tc>
          <w:tcPr>
            <w:tcW w:w="5812" w:type="dxa"/>
            <w:shd w:val="clear" w:color="auto" w:fill="auto"/>
          </w:tcPr>
          <w:p w14:paraId="7B2CBF2D" w14:textId="7C25D0CA" w:rsidR="00A13A49"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footings and slabs involves designing and constructing these elements in a way that meets or exceeds the objectives and performance requirements set out in the NCC, but using alternative methods or materials that differ from the Deemed-to-Satisfy (</w:t>
            </w:r>
            <w:proofErr w:type="spellStart"/>
            <w:r w:rsidRPr="00A52370">
              <w:rPr>
                <w:rFonts w:ascii="Arial" w:eastAsia="Times New Roman" w:hAnsi="Arial" w:cs="Arial"/>
                <w:bCs/>
                <w:color w:val="000000"/>
                <w:sz w:val="20"/>
                <w:szCs w:val="20"/>
              </w:rPr>
              <w:t>DtS</w:t>
            </w:r>
            <w:proofErr w:type="spellEnd"/>
            <w:r w:rsidRPr="00A52370">
              <w:rPr>
                <w:rFonts w:ascii="Arial" w:eastAsia="Times New Roman" w:hAnsi="Arial" w:cs="Arial"/>
                <w:bCs/>
                <w:color w:val="000000"/>
                <w:sz w:val="20"/>
                <w:szCs w:val="20"/>
              </w:rPr>
              <w:t>) provisions. This approach requires a thorough assessment, often including engineering analysis, testing, and expert judgment, to demonstrate that the proposed solution achieves the same or better outcomes</w:t>
            </w:r>
          </w:p>
        </w:tc>
      </w:tr>
      <w:tr w:rsidR="002966A6" w:rsidRPr="00AA0F01" w14:paraId="0A5AACF5" w14:textId="77777777" w:rsidTr="002966A6">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2966A6">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7C0E12E0" w14:textId="0A12557F" w:rsidR="003707F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Moisture barriers in Australian buildings must comply with the NCC and relevant standards like AS 2870 and AS 3740, which require effective installation to prevent moisture ingress and protect structural integrity.</w:t>
            </w:r>
          </w:p>
        </w:tc>
        <w:tc>
          <w:tcPr>
            <w:tcW w:w="5812" w:type="dxa"/>
            <w:shd w:val="clear" w:color="auto" w:fill="auto"/>
          </w:tcPr>
          <w:p w14:paraId="4A1BBAEA" w14:textId="1D131E7F" w:rsidR="003707F3"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moisture barriers involves using alternative materials or methods that meet or exceed the performance objectives of the NCC, even if they differ from the standard Deemed-to-Satisfy provisions.</w:t>
            </w:r>
          </w:p>
          <w:p w14:paraId="42F70938" w14:textId="77777777" w:rsidR="00A52370" w:rsidRPr="00A52370" w:rsidRDefault="00A52370" w:rsidP="00A52370">
            <w:pPr>
              <w:ind w:firstLine="720"/>
              <w:rPr>
                <w:rFonts w:ascii="Arial" w:eastAsia="Times New Roman" w:hAnsi="Arial" w:cs="Arial"/>
                <w:sz w:val="20"/>
                <w:szCs w:val="20"/>
              </w:rPr>
            </w:pPr>
          </w:p>
        </w:tc>
      </w:tr>
      <w:tr w:rsidR="00C633D3" w:rsidRPr="00AA0F01" w14:paraId="7B954AF4" w14:textId="77777777" w:rsidTr="002966A6">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D2FC00B" w14:textId="690A90DF"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These barriers are typically polyethylene sheets or waterproofing membranes, installed under slabs and in wet areas to ensure a continuous and sealed moisture-resistant layer.</w:t>
            </w:r>
          </w:p>
        </w:tc>
        <w:tc>
          <w:tcPr>
            <w:tcW w:w="5812" w:type="dxa"/>
            <w:shd w:val="clear" w:color="auto" w:fill="auto"/>
          </w:tcPr>
          <w:p w14:paraId="4BE7181F" w14:textId="07BFF64E"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solution must be supported by evidence, such as engineering assessments, testing, or expert opinions, to demonstrate that it effectively prevents moisture ingress and protects the building as required by the NCC.</w:t>
            </w:r>
          </w:p>
        </w:tc>
      </w:tr>
      <w:tr w:rsidR="00C633D3" w:rsidRPr="00AA0F01" w14:paraId="71220930" w14:textId="77777777" w:rsidTr="002966A6">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r>
      <w:tr w:rsidR="00C633D3" w:rsidRPr="00AA0F01" w14:paraId="67B16ABD" w14:textId="77777777" w:rsidTr="002966A6">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2966A6">
        <w:trPr>
          <w:trHeight w:val="1701"/>
        </w:trPr>
        <w:tc>
          <w:tcPr>
            <w:tcW w:w="2747" w:type="dxa"/>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c>
          <w:tcPr>
            <w:tcW w:w="5528" w:type="dxa"/>
            <w:gridSpan w:val="2"/>
            <w:shd w:val="clear" w:color="auto" w:fill="auto"/>
          </w:tcPr>
          <w:p w14:paraId="16F339C9" w14:textId="42E6C2E9" w:rsidR="002966A6"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Concrete and reinforcement in Australian construction must comply with the NCC and AS 3600, ensuring adequate strength, durability, and proper reinforcement detailing for structural integrity. These standards govern the design, quality, and installation practices, including concrete mix, curing, and reinforcement cover, to protect against environmental factors and ensure safety.</w:t>
            </w:r>
          </w:p>
        </w:tc>
        <w:tc>
          <w:tcPr>
            <w:tcW w:w="5812" w:type="dxa"/>
            <w:shd w:val="clear" w:color="auto" w:fill="auto"/>
          </w:tcPr>
          <w:p w14:paraId="0BFC9549" w14:textId="65437AB9" w:rsidR="002966A6"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concrete and reinforcement involves using alternative materials or construction methods that achieve or surpass the performance objectives specified in the NCC, even if they deviate from standard Deemed-to-Satisfy provisions.</w:t>
            </w:r>
          </w:p>
        </w:tc>
      </w:tr>
      <w:tr w:rsidR="00C633D3" w:rsidRPr="00AA0F01" w14:paraId="0454B753" w14:textId="77777777" w:rsidTr="002966A6">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41651866" w14:textId="6779B291"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Concrete must meet specified strength and durability requirements, while reinforcement must be made from high-quality steel, such as deformed bars or mesh, with appropriate corrosion resistance and mechanical properties to ensure structural integrity.</w:t>
            </w:r>
          </w:p>
        </w:tc>
        <w:tc>
          <w:tcPr>
            <w:tcW w:w="5812" w:type="dxa"/>
            <w:shd w:val="clear" w:color="auto" w:fill="auto"/>
          </w:tcPr>
          <w:p w14:paraId="5E65D978" w14:textId="03C66978"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approach must be validated through engineering analysis, testing, or expert assessment to demonstrate that the alternative materials or methods provide equivalent or superior structural strength, durability, and safety as required by the relevant standards.</w:t>
            </w:r>
          </w:p>
        </w:tc>
      </w:tr>
      <w:tr w:rsidR="00C633D3" w:rsidRPr="00AA0F01" w14:paraId="4D41AC07" w14:textId="77777777" w:rsidTr="002966A6">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r>
      <w:tr w:rsidR="00C633D3" w:rsidRPr="00AA0F01" w14:paraId="5657FF62" w14:textId="77777777" w:rsidTr="002966A6">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2966A6">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auto"/>
          </w:tcPr>
          <w:p w14:paraId="2684B739" w14:textId="50F0DFB6"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Masonry construction in Australia must adhere to the NCC and AS 3700, which specify requirements for the design, materials, and construction practices to ensure structural stability, load-bearing capacity, and durability. AS 4773 further addresses masonry in small buildings, emphasizing quality control and compliance with design specifications.</w:t>
            </w:r>
          </w:p>
        </w:tc>
        <w:tc>
          <w:tcPr>
            <w:tcW w:w="5812" w:type="dxa"/>
            <w:shd w:val="clear" w:color="auto" w:fill="auto"/>
          </w:tcPr>
          <w:p w14:paraId="4C75D13C" w14:textId="04E82BA1"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masonry involves using alternative materials or construction methods that meet or exceed the performance requirements of the NCC, even if they differ from the standard Deemed-to-Satisfy provisions.</w:t>
            </w:r>
          </w:p>
        </w:tc>
      </w:tr>
      <w:tr w:rsidR="00C633D3" w:rsidRPr="00AA0F01" w14:paraId="0220C8A6" w14:textId="77777777" w:rsidTr="002966A6">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2D552278" w14:textId="2DC2EB15" w:rsidR="00A52370" w:rsidRPr="00A52370" w:rsidRDefault="00A52370" w:rsidP="00A52370">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
                <w:bCs/>
                <w:color w:val="000000"/>
                <w:sz w:val="20"/>
                <w:szCs w:val="20"/>
              </w:rPr>
              <w:t>Masonry</w:t>
            </w:r>
            <w:r w:rsidRPr="00A52370">
              <w:rPr>
                <w:rFonts w:ascii="Arial" w:eastAsia="Times New Roman" w:hAnsi="Arial" w:cs="Arial"/>
                <w:bCs/>
                <w:color w:val="000000"/>
                <w:sz w:val="20"/>
                <w:szCs w:val="20"/>
              </w:rPr>
              <w:t>: Bricks, blocks, or stones made from materials like clay, concrete, or calcium silicate, meeting specific strength and durability requirements.</w:t>
            </w:r>
          </w:p>
          <w:p w14:paraId="36182E29" w14:textId="764336A5" w:rsidR="00A52370" w:rsidRPr="00A52370" w:rsidRDefault="00A52370" w:rsidP="00A52370">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
                <w:bCs/>
                <w:color w:val="000000"/>
                <w:sz w:val="20"/>
                <w:szCs w:val="20"/>
              </w:rPr>
              <w:t>Mortar</w:t>
            </w:r>
            <w:r w:rsidRPr="00A52370">
              <w:rPr>
                <w:rFonts w:ascii="Arial" w:eastAsia="Times New Roman" w:hAnsi="Arial" w:cs="Arial"/>
                <w:bCs/>
                <w:color w:val="000000"/>
                <w:sz w:val="20"/>
                <w:szCs w:val="20"/>
              </w:rPr>
              <w:t>: Must be a suitable mix of cement, sand, and water, or other approved bonding agents, designed to provide adequate adhesion and flexibility.</w:t>
            </w:r>
          </w:p>
          <w:p w14:paraId="34CEB467" w14:textId="44453304" w:rsidR="00C633D3" w:rsidRPr="003029DA" w:rsidRDefault="00A52370" w:rsidP="00A52370">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
                <w:bCs/>
                <w:color w:val="000000"/>
                <w:sz w:val="20"/>
                <w:szCs w:val="20"/>
              </w:rPr>
              <w:t>Reinforcement</w:t>
            </w:r>
            <w:r w:rsidRPr="00A52370">
              <w:rPr>
                <w:rFonts w:ascii="Arial" w:eastAsia="Times New Roman" w:hAnsi="Arial" w:cs="Arial"/>
                <w:bCs/>
                <w:color w:val="000000"/>
                <w:sz w:val="20"/>
                <w:szCs w:val="20"/>
              </w:rPr>
              <w:t>: Steel reinforcement bars or mesh used as needed to enhance structural integrity and stability.</w:t>
            </w:r>
          </w:p>
        </w:tc>
        <w:tc>
          <w:tcPr>
            <w:tcW w:w="5812" w:type="dxa"/>
            <w:shd w:val="clear" w:color="auto" w:fill="auto"/>
          </w:tcPr>
          <w:p w14:paraId="78EB9E31" w14:textId="325713D2"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solution must be supported by engineering analysis, testing, or expert evaluation to demonstrate that the alternative approach provides equivalent or superior structural performance and durability.</w:t>
            </w:r>
          </w:p>
        </w:tc>
      </w:tr>
      <w:tr w:rsidR="00C633D3" w:rsidRPr="00AA0F01" w14:paraId="406D426C" w14:textId="77777777" w:rsidTr="002966A6">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r>
      <w:tr w:rsidR="00C633D3" w:rsidRPr="00AA0F01" w14:paraId="7776B898" w14:textId="77777777" w:rsidTr="002966A6">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2966A6">
        <w:trPr>
          <w:trHeight w:val="3798"/>
        </w:trPr>
        <w:tc>
          <w:tcPr>
            <w:tcW w:w="2747" w:type="dxa"/>
            <w:shd w:val="clear" w:color="auto" w:fill="auto"/>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p>
        </w:tc>
        <w:tc>
          <w:tcPr>
            <w:tcW w:w="5528" w:type="dxa"/>
            <w:gridSpan w:val="2"/>
            <w:shd w:val="clear" w:color="auto" w:fill="auto"/>
          </w:tcPr>
          <w:p w14:paraId="0C23E1D9" w14:textId="6D93E6C7"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 xml:space="preserve">Framing in Australian buildings must comply with the NCC and relevant Australian Standards, such as </w:t>
            </w:r>
            <w:proofErr w:type="spellStart"/>
            <w:r w:rsidRPr="00A52370">
              <w:rPr>
                <w:rFonts w:ascii="Arial" w:eastAsia="Times New Roman" w:hAnsi="Arial" w:cs="Arial"/>
                <w:bCs/>
                <w:color w:val="000000"/>
                <w:sz w:val="20"/>
                <w:szCs w:val="20"/>
              </w:rPr>
              <w:t>AS</w:t>
            </w:r>
            <w:proofErr w:type="spellEnd"/>
            <w:r w:rsidRPr="00A52370">
              <w:rPr>
                <w:rFonts w:ascii="Arial" w:eastAsia="Times New Roman" w:hAnsi="Arial" w:cs="Arial"/>
                <w:bCs/>
                <w:color w:val="000000"/>
                <w:sz w:val="20"/>
                <w:szCs w:val="20"/>
              </w:rPr>
              <w:t xml:space="preserve"> 1684 for timber framing and AS 4100 for steel structures, which outline design, material, and construction requirements to ensure structural stability and safety</w:t>
            </w:r>
          </w:p>
        </w:tc>
        <w:tc>
          <w:tcPr>
            <w:tcW w:w="5812" w:type="dxa"/>
            <w:shd w:val="clear" w:color="auto" w:fill="auto"/>
          </w:tcPr>
          <w:p w14:paraId="579BEF50" w14:textId="65C0FB42"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framing involves using alternative materials or methods that achieve or surpass the performance criteria set out in the NCC, even if they differ from the standard Deemed-to-Satisfy provisions.</w:t>
            </w:r>
          </w:p>
        </w:tc>
      </w:tr>
      <w:tr w:rsidR="00C633D3" w:rsidRPr="00AA0F01" w14:paraId="1E2FED82" w14:textId="77777777" w:rsidTr="002966A6">
        <w:trPr>
          <w:trHeight w:val="3798"/>
        </w:trPr>
        <w:tc>
          <w:tcPr>
            <w:tcW w:w="2747" w:type="dxa"/>
            <w:shd w:val="clear" w:color="auto" w:fill="auto"/>
          </w:tcPr>
          <w:p w14:paraId="44FB28C2" w14:textId="34EA842E"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725780AD" w14:textId="2F005DBD"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These standards specify load-bearing capacities, material quality, and assembly practices to maintain the integrity and durability of the framing system.</w:t>
            </w:r>
          </w:p>
        </w:tc>
        <w:tc>
          <w:tcPr>
            <w:tcW w:w="5812" w:type="dxa"/>
            <w:shd w:val="clear" w:color="auto" w:fill="auto"/>
          </w:tcPr>
          <w:p w14:paraId="21F063C3" w14:textId="4631E3E5"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approach must be supported by engineering analysis, testing, or expert validation to demonstrate that the alternative solution provides equivalent or superior structural stability, load-bearing capacity, and safety.</w:t>
            </w:r>
          </w:p>
        </w:tc>
      </w:tr>
      <w:tr w:rsidR="00C633D3" w:rsidRPr="00AA0F01" w14:paraId="4050C160" w14:textId="77777777" w:rsidTr="002966A6">
        <w:trPr>
          <w:trHeight w:val="514"/>
        </w:trPr>
        <w:tc>
          <w:tcPr>
            <w:tcW w:w="14087" w:type="dxa"/>
            <w:gridSpan w:val="4"/>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r>
      <w:tr w:rsidR="00C633D3" w:rsidRPr="00AA0F01" w14:paraId="26ABDCF7" w14:textId="77777777" w:rsidTr="002966A6">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2966A6">
        <w:trPr>
          <w:trHeight w:val="3685"/>
        </w:trPr>
        <w:tc>
          <w:tcPr>
            <w:tcW w:w="2747" w:type="dxa"/>
            <w:shd w:val="clear" w:color="auto" w:fill="auto"/>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auto"/>
          </w:tcPr>
          <w:p w14:paraId="12A288A5" w14:textId="495F43EE"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Roof and wall cladding in Australian buildings must comply with the NCC and standards like AS 1562, which cover design, material quality, and installation to ensure structural integrity and weather resistance.</w:t>
            </w:r>
          </w:p>
        </w:tc>
        <w:tc>
          <w:tcPr>
            <w:tcW w:w="5812" w:type="dxa"/>
            <w:shd w:val="clear" w:color="auto" w:fill="auto"/>
          </w:tcPr>
          <w:p w14:paraId="0060DB44" w14:textId="555ECE9D"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roof and wall cladding involves using alternative materials or methods that meet or exceed the performance criteria outlined in the NCC, even if they deviate from the standard Deemed-to-Satisfy provisions.</w:t>
            </w:r>
          </w:p>
        </w:tc>
      </w:tr>
      <w:tr w:rsidR="00C633D3" w:rsidRPr="00AA0F01" w14:paraId="288EA138" w14:textId="77777777" w:rsidTr="002966A6">
        <w:trPr>
          <w:trHeight w:val="3685"/>
        </w:trPr>
        <w:tc>
          <w:tcPr>
            <w:tcW w:w="2747" w:type="dxa"/>
            <w:shd w:val="clear" w:color="auto" w:fill="auto"/>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056BCAD6" w14:textId="51522BDD"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AS 3959 also addresses cladding requirements for bushfire-prone areas, ensuring materials meet fire resistance standards.</w:t>
            </w:r>
          </w:p>
        </w:tc>
        <w:tc>
          <w:tcPr>
            <w:tcW w:w="5812" w:type="dxa"/>
            <w:shd w:val="clear" w:color="auto" w:fill="auto"/>
          </w:tcPr>
          <w:p w14:paraId="13511490" w14:textId="4777238B"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approach must be substantiated by engineering analysis, testing, or expert evaluation to demonstrate that the alternative cladding system provides equivalent or superior performance in terms of structural integrity, weather resistance, and safety.</w:t>
            </w:r>
          </w:p>
        </w:tc>
      </w:tr>
      <w:tr w:rsidR="00C633D3" w:rsidRPr="00AA0F01" w14:paraId="4DFC2A4A" w14:textId="77777777" w:rsidTr="002966A6">
        <w:trPr>
          <w:trHeight w:val="567"/>
        </w:trPr>
        <w:tc>
          <w:tcPr>
            <w:tcW w:w="14087" w:type="dxa"/>
            <w:gridSpan w:val="4"/>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r>
      <w:tr w:rsidR="00C633D3" w:rsidRPr="00AA0F01" w14:paraId="1971CC98" w14:textId="77777777" w:rsidTr="00DF7E8E">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DF7E8E">
        <w:trPr>
          <w:trHeight w:val="3798"/>
        </w:trPr>
        <w:tc>
          <w:tcPr>
            <w:tcW w:w="2747" w:type="dxa"/>
            <w:shd w:val="clear" w:color="auto" w:fill="auto"/>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auto"/>
          </w:tcPr>
          <w:p w14:paraId="7B4191B0" w14:textId="2A453827" w:rsidR="00DF7E8E" w:rsidRPr="003029DA" w:rsidRDefault="00EF0465" w:rsidP="00C633D3">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Glazing in Australian buildings must comply with the NCC and standards like AS 1288 and AS 2047, which outline requirements for glass selection, installation, and performance, ensuring safety, structural integrity, and energy efficiency.</w:t>
            </w:r>
          </w:p>
        </w:tc>
        <w:tc>
          <w:tcPr>
            <w:tcW w:w="5812" w:type="dxa"/>
            <w:shd w:val="clear" w:color="auto" w:fill="auto"/>
          </w:tcPr>
          <w:p w14:paraId="1D7EFBC2" w14:textId="6E9A5C65" w:rsidR="00DF7E8E" w:rsidRPr="003029DA" w:rsidRDefault="00EF0465" w:rsidP="00C633D3">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 compliant Performance Solution for glazing involves using alternative materials or methods that meet or exceed the performance objectives outlined in the NCC, even if they differ from the standard Deemed-to-Satisfy provisions.</w:t>
            </w:r>
          </w:p>
        </w:tc>
      </w:tr>
      <w:tr w:rsidR="00A13A49" w:rsidRPr="00AA0F01" w14:paraId="5367880A" w14:textId="77777777" w:rsidTr="00DF7E8E">
        <w:trPr>
          <w:trHeight w:val="3798"/>
        </w:trPr>
        <w:tc>
          <w:tcPr>
            <w:tcW w:w="2747" w:type="dxa"/>
            <w:shd w:val="clear" w:color="auto" w:fill="auto"/>
          </w:tcPr>
          <w:p w14:paraId="66D99F16" w14:textId="5BD348C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45B90FF2" w14:textId="688F33B2" w:rsidR="00A13A49"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AS/NZS 2208 specifies safety glazing materials' impact resistance to protect against injury from broken glass.</w:t>
            </w:r>
          </w:p>
        </w:tc>
        <w:tc>
          <w:tcPr>
            <w:tcW w:w="5812" w:type="dxa"/>
            <w:shd w:val="clear" w:color="auto" w:fill="auto"/>
          </w:tcPr>
          <w:p w14:paraId="67A5818A" w14:textId="78FA7938" w:rsidR="00A13A49"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This solution must be supported by engineering analysis, testing, or expert assessment to demonstrate that the alternative glazing system provides equivalent or superior safety, structural performance, and energy efficiency.</w:t>
            </w:r>
          </w:p>
        </w:tc>
      </w:tr>
      <w:tr w:rsidR="003707F3" w:rsidRPr="00AA0F01" w14:paraId="24B2AE8C" w14:textId="77777777" w:rsidTr="002966A6">
        <w:trPr>
          <w:trHeight w:val="699"/>
        </w:trPr>
        <w:tc>
          <w:tcPr>
            <w:tcW w:w="14087" w:type="dxa"/>
            <w:gridSpan w:val="4"/>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r>
      <w:tr w:rsidR="003707F3" w:rsidRPr="00AA0F01" w14:paraId="3C050C02" w14:textId="77777777" w:rsidTr="00DF7E8E">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DF7E8E">
        <w:trPr>
          <w:trHeight w:val="2438"/>
        </w:trPr>
        <w:tc>
          <w:tcPr>
            <w:tcW w:w="2747" w:type="dxa"/>
            <w:shd w:val="clear" w:color="auto" w:fill="auto"/>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35AA8B4C" w14:textId="29492A0C" w:rsidR="003707F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Access elements such as stairs, lifts, and ramps in Australian buildings must comply with the NCC and standards like AS 1428 for accessibility and AS 1657 for fixed platforms and stairways, ensuring safety and usability for all users. AS 1735 covers design and installation requirements for lifts, focusing on safety and accessibility.</w:t>
            </w:r>
          </w:p>
        </w:tc>
        <w:tc>
          <w:tcPr>
            <w:tcW w:w="5812" w:type="dxa"/>
            <w:shd w:val="clear" w:color="auto" w:fill="auto"/>
          </w:tcPr>
          <w:p w14:paraId="4EDF0A16" w14:textId="2F3433D1" w:rsidR="003707F3"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 compliant Performance Solution for access elements like stairs, lifts, and ramps involves using alternative methods or materials that achieve or exceed the performance objectives of the NCC, even if they differ from the standard Deemed-to-Satisfy provisions. This approach must be supported by detailed analysis, testing, or expert evaluation to demonstrate that the alternative solution provides equivalent or superior safety, accessibility, and usability.</w:t>
            </w:r>
          </w:p>
          <w:p w14:paraId="6AAEAF69" w14:textId="77777777" w:rsidR="00EF0465" w:rsidRPr="00EF0465" w:rsidRDefault="00EF0465" w:rsidP="00EF0465">
            <w:pPr>
              <w:rPr>
                <w:rFonts w:ascii="Arial" w:eastAsia="Times New Roman" w:hAnsi="Arial" w:cs="Arial"/>
                <w:sz w:val="20"/>
                <w:szCs w:val="20"/>
              </w:rPr>
            </w:pPr>
          </w:p>
        </w:tc>
      </w:tr>
      <w:tr w:rsidR="003707F3" w:rsidRPr="00AA0F01" w14:paraId="0733257E" w14:textId="77777777" w:rsidTr="00DF7E8E">
        <w:trPr>
          <w:trHeight w:val="2438"/>
        </w:trPr>
        <w:tc>
          <w:tcPr>
            <w:tcW w:w="2747" w:type="dxa"/>
            <w:shd w:val="clear" w:color="auto" w:fill="auto"/>
          </w:tcPr>
          <w:p w14:paraId="7F18713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67BB3E9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55C0B88"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DF7E8E">
        <w:trPr>
          <w:trHeight w:val="2438"/>
        </w:trPr>
        <w:tc>
          <w:tcPr>
            <w:tcW w:w="2747" w:type="dxa"/>
            <w:shd w:val="clear" w:color="auto" w:fill="auto"/>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04E1C287" w14:textId="771302BF" w:rsidR="00D55BE0"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Stairs</w:t>
            </w:r>
            <w:r w:rsidRPr="00EF0465">
              <w:rPr>
                <w:rFonts w:ascii="Arial" w:eastAsia="Times New Roman" w:hAnsi="Arial" w:cs="Arial"/>
                <w:bCs/>
                <w:color w:val="000000"/>
                <w:sz w:val="20"/>
                <w:szCs w:val="20"/>
              </w:rPr>
              <w:t>: Typically constructed from materials such as concrete, timber, or metal, with specific requirements for tread dimensions, handrails, and slip resistance.</w:t>
            </w:r>
          </w:p>
        </w:tc>
        <w:tc>
          <w:tcPr>
            <w:tcW w:w="5812" w:type="dxa"/>
            <w:shd w:val="clear" w:color="auto" w:fill="auto"/>
          </w:tcPr>
          <w:p w14:paraId="63F06359" w14:textId="1723DF3A" w:rsidR="00D55BE0"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Ramps</w:t>
            </w:r>
            <w:r w:rsidRPr="00EF0465">
              <w:rPr>
                <w:rFonts w:ascii="Arial" w:eastAsia="Times New Roman" w:hAnsi="Arial" w:cs="Arial"/>
                <w:bCs/>
                <w:color w:val="000000"/>
                <w:sz w:val="20"/>
                <w:szCs w:val="20"/>
              </w:rPr>
              <w:t>: Commonly made from concrete, asphalt, or metal, with specifications for gradient, surface texture, and load-bearing capacity to ensure safe access for all users.</w:t>
            </w:r>
          </w:p>
        </w:tc>
      </w:tr>
      <w:tr w:rsidR="007D5F43" w:rsidRPr="00AA0F01" w14:paraId="539B9ABF" w14:textId="77777777" w:rsidTr="007D5F43">
        <w:trPr>
          <w:trHeight w:val="699"/>
        </w:trPr>
        <w:tc>
          <w:tcPr>
            <w:tcW w:w="14087" w:type="dxa"/>
            <w:gridSpan w:val="4"/>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r>
      <w:tr w:rsidR="007D5F43" w:rsidRPr="00AA0F01" w14:paraId="5C4AA964" w14:textId="77777777" w:rsidTr="007D5F43">
        <w:trPr>
          <w:trHeight w:val="709"/>
        </w:trPr>
        <w:tc>
          <w:tcPr>
            <w:tcW w:w="2747" w:type="dxa"/>
            <w:shd w:val="clear" w:color="auto" w:fill="auto"/>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shd w:val="clear" w:color="auto" w:fill="auto"/>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DF7E8E">
        <w:trPr>
          <w:trHeight w:val="2438"/>
        </w:trPr>
        <w:tc>
          <w:tcPr>
            <w:tcW w:w="2747" w:type="dxa"/>
            <w:shd w:val="clear" w:color="auto" w:fill="auto"/>
          </w:tcPr>
          <w:p w14:paraId="3B147540"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1AE2ED72" w14:textId="18EB0DA6"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Energy efficiency in Australian buildings must adhere to the NCC and relevant standards such as AS/NZS 4859 for thermal insulation materials and AS 3621 for mechanical ventilation systems. The NCC mandates measures for insulation, glazing, and building services to minimize energy consumption and enhance comfort. Compliance with these standards ensures that buildings are energy-efficient, contributing to lower operational costs and environmental sustainability.</w:t>
            </w:r>
          </w:p>
        </w:tc>
        <w:tc>
          <w:tcPr>
            <w:tcW w:w="5812" w:type="dxa"/>
            <w:shd w:val="clear" w:color="auto" w:fill="auto"/>
          </w:tcPr>
          <w:p w14:paraId="0EBBF60D" w14:textId="22B5DFC8"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 compliant Performance Solution for energy efficiency involves using alternative methods or materials that achieve or exceed the performance requirements set by the NCC, even if they differ from the standard Deemed-to-Satisfy provisions.</w:t>
            </w:r>
          </w:p>
        </w:tc>
      </w:tr>
      <w:tr w:rsidR="007D5F43" w:rsidRPr="00AA0F01" w14:paraId="7B9EB2C8" w14:textId="77777777" w:rsidTr="00DF7E8E">
        <w:trPr>
          <w:trHeight w:val="2438"/>
        </w:trPr>
        <w:tc>
          <w:tcPr>
            <w:tcW w:w="2747" w:type="dxa"/>
            <w:shd w:val="clear" w:color="auto" w:fill="auto"/>
          </w:tcPr>
          <w:p w14:paraId="7A37817A"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3E6F0B99"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51CC42C"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60CAA85F" w14:textId="77777777" w:rsidTr="00DF7E8E">
        <w:trPr>
          <w:trHeight w:val="2438"/>
        </w:trPr>
        <w:tc>
          <w:tcPr>
            <w:tcW w:w="2747" w:type="dxa"/>
            <w:shd w:val="clear" w:color="auto" w:fill="auto"/>
          </w:tcPr>
          <w:p w14:paraId="55425355" w14:textId="0DBB04EF"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6DA4FD8C" w14:textId="77777777" w:rsidR="007D5F43"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Insulation</w:t>
            </w:r>
          </w:p>
          <w:p w14:paraId="481F9FC9" w14:textId="77777777" w:rsidR="00EF0465"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Glazing</w:t>
            </w:r>
          </w:p>
          <w:p w14:paraId="0DD67CD3" w14:textId="77777777" w:rsidR="00EF0465"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Building membranes</w:t>
            </w:r>
          </w:p>
          <w:p w14:paraId="6C83C07D" w14:textId="21CCE5F0" w:rsidR="00EF0465" w:rsidRPr="003029DA"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Ventilation systems</w:t>
            </w:r>
          </w:p>
        </w:tc>
        <w:tc>
          <w:tcPr>
            <w:tcW w:w="5812" w:type="dxa"/>
            <w:shd w:val="clear" w:color="auto" w:fill="auto"/>
          </w:tcPr>
          <w:p w14:paraId="157C68BC" w14:textId="2B040B9A"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This approach must be supported by detailed analysis, testing, or expert evaluation to demonstrate that the alternative solution provides equivalent or superior energy efficiency, thermal performance, and overall sustainability.</w:t>
            </w:r>
          </w:p>
        </w:tc>
      </w:tr>
      <w:tr w:rsidR="00086D65" w:rsidRPr="00AA0F01" w14:paraId="69561241" w14:textId="77777777" w:rsidTr="002966A6">
        <w:trPr>
          <w:trHeight w:val="440"/>
        </w:trPr>
        <w:tc>
          <w:tcPr>
            <w:tcW w:w="14087" w:type="dxa"/>
            <w:gridSpan w:val="4"/>
            <w:shd w:val="clear" w:color="auto" w:fill="D9D9D9" w:themeFill="background1" w:themeFillShade="D9"/>
          </w:tcPr>
          <w:p w14:paraId="0EC9A89C" w14:textId="0451387E"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Health and Safety</w:t>
            </w:r>
          </w:p>
        </w:tc>
      </w:tr>
      <w:tr w:rsidR="003707F3" w:rsidRPr="00AA0F01" w14:paraId="2F00D383" w14:textId="77777777" w:rsidTr="00DF7E8E">
        <w:trPr>
          <w:trHeight w:val="8164"/>
        </w:trPr>
        <w:tc>
          <w:tcPr>
            <w:tcW w:w="14087" w:type="dxa"/>
            <w:gridSpan w:val="4"/>
            <w:shd w:val="clear" w:color="auto" w:fill="auto"/>
          </w:tcPr>
          <w:p w14:paraId="3E533AB9"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lastRenderedPageBreak/>
              <w:t>National Construction Code (NCC)</w:t>
            </w:r>
          </w:p>
          <w:p w14:paraId="1A009ED5" w14:textId="77777777" w:rsidR="00EF0465" w:rsidRPr="00EF0465" w:rsidRDefault="00EF0465" w:rsidP="00EF0465">
            <w:pPr>
              <w:numPr>
                <w:ilvl w:val="0"/>
                <w:numId w:val="4"/>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NCC Volume 1 (Class 2 to 9 Buildings)</w:t>
            </w:r>
            <w:r w:rsidRPr="00EF0465">
              <w:rPr>
                <w:rFonts w:ascii="Arial" w:eastAsia="Times New Roman" w:hAnsi="Arial" w:cs="Arial"/>
                <w:bCs/>
                <w:color w:val="000000"/>
                <w:sz w:val="20"/>
                <w:szCs w:val="20"/>
              </w:rPr>
              <w:t xml:space="preserve"> and </w:t>
            </w:r>
            <w:r w:rsidRPr="00EF0465">
              <w:rPr>
                <w:rFonts w:ascii="Arial" w:eastAsia="Times New Roman" w:hAnsi="Arial" w:cs="Arial"/>
                <w:b/>
                <w:bCs/>
                <w:color w:val="000000"/>
                <w:sz w:val="20"/>
                <w:szCs w:val="20"/>
              </w:rPr>
              <w:t>Volume 2 (Class 1 and 10 Buildings)</w:t>
            </w:r>
            <w:r w:rsidRPr="00EF0465">
              <w:rPr>
                <w:rFonts w:ascii="Arial" w:eastAsia="Times New Roman" w:hAnsi="Arial" w:cs="Arial"/>
                <w:bCs/>
                <w:color w:val="000000"/>
                <w:sz w:val="20"/>
                <w:szCs w:val="20"/>
              </w:rPr>
              <w:t xml:space="preserve"> require that buildings are designed and constructed to provide a safe environment, including measures for fire safety, structural integrity, and emergency egress.</w:t>
            </w:r>
          </w:p>
          <w:p w14:paraId="24DA10C5"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Australian Standards</w:t>
            </w:r>
          </w:p>
          <w:p w14:paraId="5CC222AB"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 3745 – Planning for Emergencies in Facilities</w:t>
            </w:r>
          </w:p>
          <w:p w14:paraId="1EB8D071" w14:textId="77777777" w:rsidR="00EF0465" w:rsidRPr="00EF0465" w:rsidRDefault="00EF0465" w:rsidP="00EF0465">
            <w:pPr>
              <w:numPr>
                <w:ilvl w:val="0"/>
                <w:numId w:val="5"/>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Provides guidelines for developing emergency plans and procedures, including evacuation plans, signage, and training for building occupants and staff.</w:t>
            </w:r>
          </w:p>
          <w:p w14:paraId="33213C1E"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 4084 – Steel Storage Racking</w:t>
            </w:r>
          </w:p>
          <w:p w14:paraId="1D0C262A" w14:textId="77777777" w:rsidR="00EF0465" w:rsidRPr="00EF0465" w:rsidRDefault="00EF0465" w:rsidP="00EF0465">
            <w:pPr>
              <w:numPr>
                <w:ilvl w:val="0"/>
                <w:numId w:val="6"/>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Specifies requirements for the design, installation, and maintenance of steel storage racking systems to ensure safety in storage areas.</w:t>
            </w:r>
          </w:p>
          <w:p w14:paraId="7620D5DF"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AS/NZS 4801 – Occupational Health and Safety Management Systems</w:t>
            </w:r>
          </w:p>
          <w:p w14:paraId="64B9CA30" w14:textId="77777777" w:rsidR="00EF0465" w:rsidRPr="00EF0465" w:rsidRDefault="00EF0465" w:rsidP="00EF0465">
            <w:pPr>
              <w:numPr>
                <w:ilvl w:val="0"/>
                <w:numId w:val="7"/>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Outlines requirements for establishing and maintaining an occupational health and safety management system to identify, assess, and control workplace hazards.</w:t>
            </w:r>
          </w:p>
          <w:p w14:paraId="468E8F25"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 3600 – Concrete Structures</w:t>
            </w:r>
          </w:p>
          <w:p w14:paraId="66165402" w14:textId="77777777" w:rsidR="00EF0465" w:rsidRPr="00EF0465" w:rsidRDefault="00EF0465" w:rsidP="00EF0465">
            <w:pPr>
              <w:numPr>
                <w:ilvl w:val="0"/>
                <w:numId w:val="8"/>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Includes safety provisions related to the construction and handling of concrete structures, ensuring the safety of construction workers and structural performance.</w:t>
            </w:r>
          </w:p>
          <w:p w14:paraId="73E18D9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FA2BE9" w:rsidRPr="00AA0F01"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AA0F01" w:rsidRDefault="003B1C04" w:rsidP="00FC439C">
            <w:pPr>
              <w:spacing w:beforeLines="60" w:before="144" w:afterLines="60" w:after="144" w:line="276" w:lineRule="auto"/>
              <w:rPr>
                <w:rFonts w:ascii="Arial" w:eastAsia="Times New Roman" w:hAnsi="Arial" w:cs="Arial"/>
                <w:b/>
                <w:smallCaps/>
                <w:color w:val="000000"/>
                <w:sz w:val="20"/>
                <w:szCs w:val="20"/>
              </w:rPr>
            </w:pPr>
            <w:r w:rsidRPr="003B1C04">
              <w:rPr>
                <w:rFonts w:ascii="Arial Narrow" w:eastAsia="Times New Roman" w:hAnsi="Arial Narrow" w:cs="Times New Roman"/>
                <w:b/>
                <w:bCs/>
              </w:rPr>
              <w:lastRenderedPageBreak/>
              <w:t>Issues to</w:t>
            </w:r>
            <w:r>
              <w:rPr>
                <w:rFonts w:ascii="Arial Narrow" w:eastAsia="Times New Roman" w:hAnsi="Arial Narrow" w:cs="Times New Roman"/>
                <w:b/>
                <w:bCs/>
              </w:rPr>
              <w:t xml:space="preserve"> be addressed and consultation</w:t>
            </w:r>
          </w:p>
        </w:tc>
      </w:tr>
      <w:tr w:rsidR="00AA0F01" w:rsidRPr="00AA0F01" w14:paraId="756F111B" w14:textId="77777777" w:rsidTr="00DF7E8E">
        <w:trPr>
          <w:trHeight w:val="985"/>
        </w:trPr>
        <w:tc>
          <w:tcPr>
            <w:tcW w:w="4165" w:type="dxa"/>
            <w:shd w:val="clear" w:color="auto" w:fill="auto"/>
            <w:vAlign w:val="center"/>
          </w:tcPr>
          <w:p w14:paraId="581E6569" w14:textId="5BE88878" w:rsidR="00AA0F01" w:rsidRPr="00AA0F01" w:rsidRDefault="003B1C04" w:rsidP="007639BF">
            <w:pPr>
              <w:spacing w:after="0" w:line="240" w:lineRule="auto"/>
              <w:jc w:val="center"/>
              <w:rPr>
                <w:rFonts w:ascii="Arial Narrow" w:eastAsia="Times New Roman" w:hAnsi="Arial Narrow" w:cs="Times New Roman"/>
                <w:b/>
                <w:bCs/>
              </w:rPr>
            </w:pPr>
            <w:r w:rsidRPr="003B1C04">
              <w:rPr>
                <w:rFonts w:ascii="Arial Narrow" w:eastAsia="Times New Roman" w:hAnsi="Arial Narrow" w:cs="Times New Roman"/>
                <w:b/>
                <w:bCs/>
              </w:rPr>
              <w:t>Issue</w:t>
            </w:r>
          </w:p>
        </w:tc>
        <w:tc>
          <w:tcPr>
            <w:tcW w:w="2693" w:type="dxa"/>
            <w:shd w:val="clear" w:color="auto" w:fill="auto"/>
            <w:vAlign w:val="center"/>
          </w:tcPr>
          <w:p w14:paraId="21255A9E" w14:textId="088BB08D"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Who to consult</w:t>
            </w:r>
          </w:p>
        </w:tc>
        <w:tc>
          <w:tcPr>
            <w:tcW w:w="2410" w:type="dxa"/>
            <w:shd w:val="clear" w:color="auto" w:fill="auto"/>
            <w:vAlign w:val="center"/>
          </w:tcPr>
          <w:p w14:paraId="31122156" w14:textId="074A328F"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Improvements for consideration</w:t>
            </w:r>
          </w:p>
        </w:tc>
        <w:tc>
          <w:tcPr>
            <w:tcW w:w="2835" w:type="dxa"/>
            <w:shd w:val="clear" w:color="auto" w:fill="auto"/>
            <w:vAlign w:val="center"/>
          </w:tcPr>
          <w:p w14:paraId="1F95B417" w14:textId="053CF77B"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Feedback following consideration</w:t>
            </w:r>
          </w:p>
        </w:tc>
        <w:tc>
          <w:tcPr>
            <w:tcW w:w="1984" w:type="dxa"/>
            <w:shd w:val="clear" w:color="auto" w:fill="auto"/>
            <w:vAlign w:val="center"/>
          </w:tcPr>
          <w:p w14:paraId="4D2A93A5" w14:textId="3FC386A7" w:rsidR="00AA0F01" w:rsidRPr="00AA0F01" w:rsidRDefault="00BD7D15"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Supporting Resources</w:t>
            </w:r>
          </w:p>
        </w:tc>
      </w:tr>
      <w:tr w:rsidR="00AA0F01" w:rsidRPr="00AA0F01" w14:paraId="3F7BB3CE" w14:textId="77777777" w:rsidTr="00DF7E8E">
        <w:trPr>
          <w:trHeight w:val="985"/>
        </w:trPr>
        <w:tc>
          <w:tcPr>
            <w:tcW w:w="4165" w:type="dxa"/>
            <w:shd w:val="clear" w:color="auto" w:fill="FFFFFF"/>
          </w:tcPr>
          <w:p w14:paraId="40F035CA" w14:textId="6287F929"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Fire </w:t>
            </w:r>
            <w:proofErr w:type="spellStart"/>
            <w:r>
              <w:rPr>
                <w:rFonts w:ascii="Arial" w:eastAsia="Times New Roman" w:hAnsi="Arial" w:cs="Arial"/>
                <w:bCs/>
                <w:color w:val="44546A" w:themeColor="text2"/>
                <w:sz w:val="20"/>
                <w:szCs w:val="20"/>
              </w:rPr>
              <w:t>saftey</w:t>
            </w:r>
            <w:proofErr w:type="spellEnd"/>
          </w:p>
        </w:tc>
        <w:tc>
          <w:tcPr>
            <w:tcW w:w="2693" w:type="dxa"/>
            <w:shd w:val="clear" w:color="auto" w:fill="FFFFFF"/>
          </w:tcPr>
          <w:p w14:paraId="5A4C5F52" w14:textId="146E9260"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Fire safety engineers</w:t>
            </w:r>
          </w:p>
        </w:tc>
        <w:tc>
          <w:tcPr>
            <w:tcW w:w="2410" w:type="dxa"/>
            <w:shd w:val="clear" w:color="auto" w:fill="FFFFFF"/>
          </w:tcPr>
          <w:p w14:paraId="3EF1BDEE" w14:textId="5874FE94"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sprinklers</w:t>
            </w:r>
          </w:p>
        </w:tc>
        <w:tc>
          <w:tcPr>
            <w:tcW w:w="2835" w:type="dxa"/>
            <w:shd w:val="clear" w:color="auto" w:fill="FFFFFF"/>
          </w:tcPr>
          <w:p w14:paraId="5B1037F0" w14:textId="7CC2ABE9"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designed</w:t>
            </w:r>
          </w:p>
        </w:tc>
        <w:tc>
          <w:tcPr>
            <w:tcW w:w="1984" w:type="dxa"/>
            <w:shd w:val="clear" w:color="auto" w:fill="FFFFFF"/>
          </w:tcPr>
          <w:p w14:paraId="183EE248" w14:textId="0430AF1F"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Plans, specifications</w:t>
            </w:r>
          </w:p>
        </w:tc>
      </w:tr>
      <w:tr w:rsidR="003B1C04" w:rsidRPr="00AA0F01" w14:paraId="05A9F50A" w14:textId="77777777" w:rsidTr="00DF7E8E">
        <w:trPr>
          <w:trHeight w:val="985"/>
        </w:trPr>
        <w:tc>
          <w:tcPr>
            <w:tcW w:w="4165" w:type="dxa"/>
            <w:shd w:val="clear" w:color="auto" w:fill="FFFFFF"/>
          </w:tcPr>
          <w:p w14:paraId="1853B331" w14:textId="3EEA4246"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Structural integrity</w:t>
            </w:r>
          </w:p>
        </w:tc>
        <w:tc>
          <w:tcPr>
            <w:tcW w:w="2693" w:type="dxa"/>
            <w:shd w:val="clear" w:color="auto" w:fill="FFFFFF"/>
          </w:tcPr>
          <w:p w14:paraId="5E0E205D" w14:textId="72A492BD"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Structural engineers</w:t>
            </w:r>
          </w:p>
        </w:tc>
        <w:tc>
          <w:tcPr>
            <w:tcW w:w="2410" w:type="dxa"/>
            <w:shd w:val="clear" w:color="auto" w:fill="FFFFFF"/>
          </w:tcPr>
          <w:p w14:paraId="5EFC6726" w14:textId="2B5F555B"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loads</w:t>
            </w:r>
          </w:p>
        </w:tc>
        <w:tc>
          <w:tcPr>
            <w:tcW w:w="2835" w:type="dxa"/>
            <w:shd w:val="clear" w:color="auto" w:fill="FFFFFF"/>
          </w:tcPr>
          <w:p w14:paraId="140E1511" w14:textId="6CA20976"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Limits allowed</w:t>
            </w:r>
          </w:p>
        </w:tc>
        <w:tc>
          <w:tcPr>
            <w:tcW w:w="1984" w:type="dxa"/>
            <w:shd w:val="clear" w:color="auto" w:fill="FFFFFF"/>
          </w:tcPr>
          <w:p w14:paraId="7B4AF51B" w14:textId="12509F85"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Plans updated to reflect</w:t>
            </w:r>
          </w:p>
        </w:tc>
      </w:tr>
      <w:tr w:rsidR="003B1C04" w:rsidRPr="00AA0F01" w14:paraId="4A82C589" w14:textId="77777777" w:rsidTr="00DF7E8E">
        <w:trPr>
          <w:trHeight w:val="985"/>
        </w:trPr>
        <w:tc>
          <w:tcPr>
            <w:tcW w:w="4165" w:type="dxa"/>
            <w:shd w:val="clear" w:color="auto" w:fill="FFFFFF"/>
          </w:tcPr>
          <w:p w14:paraId="07FB5945" w14:textId="13B44270"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Emergency egress</w:t>
            </w:r>
          </w:p>
        </w:tc>
        <w:tc>
          <w:tcPr>
            <w:tcW w:w="2693" w:type="dxa"/>
            <w:shd w:val="clear" w:color="auto" w:fill="FFFFFF"/>
          </w:tcPr>
          <w:p w14:paraId="509C502E" w14:textId="6867338F"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Building certifier</w:t>
            </w:r>
          </w:p>
        </w:tc>
        <w:tc>
          <w:tcPr>
            <w:tcW w:w="2410" w:type="dxa"/>
            <w:shd w:val="clear" w:color="auto" w:fill="FFFFFF"/>
          </w:tcPr>
          <w:p w14:paraId="17BCE3AF" w14:textId="4EF47523" w:rsidR="003B1C04" w:rsidRPr="008045D9" w:rsidRDefault="00EF0465" w:rsidP="00E84220">
            <w:pPr>
              <w:spacing w:after="0" w:line="240" w:lineRule="auto"/>
              <w:rPr>
                <w:rFonts w:ascii="Arial" w:eastAsia="Times New Roman" w:hAnsi="Arial" w:cs="Arial"/>
                <w:bCs/>
                <w:color w:val="44546A" w:themeColor="text2"/>
                <w:sz w:val="20"/>
                <w:szCs w:val="20"/>
              </w:rPr>
            </w:pPr>
            <w:r w:rsidRPr="00EF0465">
              <w:rPr>
                <w:rFonts w:ascii="Arial" w:eastAsia="Times New Roman" w:hAnsi="Arial" w:cs="Arial"/>
                <w:bCs/>
                <w:color w:val="44546A" w:themeColor="text2"/>
                <w:sz w:val="20"/>
                <w:szCs w:val="20"/>
              </w:rPr>
              <w:t>emergency exits, signage, and evacuation routes to ensure occupants can safely exit</w:t>
            </w:r>
          </w:p>
        </w:tc>
        <w:tc>
          <w:tcPr>
            <w:tcW w:w="2835" w:type="dxa"/>
            <w:shd w:val="clear" w:color="auto" w:fill="FFFFFF"/>
          </w:tcPr>
          <w:p w14:paraId="4477646D" w14:textId="4ABE1AA0" w:rsidR="003B1C04" w:rsidRPr="008045D9" w:rsidRDefault="003677E2"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w:t>
            </w:r>
            <w:r w:rsidRPr="003677E2">
              <w:rPr>
                <w:rFonts w:ascii="Arial" w:eastAsia="Times New Roman" w:hAnsi="Arial" w:cs="Arial"/>
                <w:bCs/>
                <w:color w:val="44546A" w:themeColor="text2"/>
                <w:sz w:val="20"/>
                <w:szCs w:val="20"/>
              </w:rPr>
              <w:t>esign and install adequate emergency exit</w:t>
            </w:r>
            <w:r>
              <w:rPr>
                <w:rFonts w:ascii="Arial" w:eastAsia="Times New Roman" w:hAnsi="Arial" w:cs="Arial"/>
                <w:bCs/>
                <w:color w:val="44546A" w:themeColor="text2"/>
                <w:sz w:val="20"/>
                <w:szCs w:val="20"/>
              </w:rPr>
              <w:t>s</w:t>
            </w:r>
          </w:p>
        </w:tc>
        <w:tc>
          <w:tcPr>
            <w:tcW w:w="1984" w:type="dxa"/>
            <w:shd w:val="clear" w:color="auto" w:fill="FFFFFF"/>
          </w:tcPr>
          <w:p w14:paraId="335477C0" w14:textId="00E92907" w:rsidR="003B1C04" w:rsidRPr="008045D9" w:rsidRDefault="003677E2"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Plans</w:t>
            </w:r>
          </w:p>
        </w:tc>
      </w:tr>
      <w:tr w:rsidR="003B1C04" w:rsidRPr="00AA0F01" w14:paraId="3E13C4D6" w14:textId="77777777" w:rsidTr="00DF7E8E">
        <w:trPr>
          <w:trHeight w:val="985"/>
        </w:trPr>
        <w:tc>
          <w:tcPr>
            <w:tcW w:w="4165" w:type="dxa"/>
            <w:shd w:val="clear" w:color="auto" w:fill="FFFFFF"/>
          </w:tcPr>
          <w:p w14:paraId="7D278F7A" w14:textId="7B76283E"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OH&amp;S</w:t>
            </w:r>
          </w:p>
        </w:tc>
        <w:tc>
          <w:tcPr>
            <w:tcW w:w="2693" w:type="dxa"/>
            <w:shd w:val="clear" w:color="auto" w:fill="FFFFFF"/>
          </w:tcPr>
          <w:p w14:paraId="71B8359A" w14:textId="5FEE3E9C"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Building certifier</w:t>
            </w:r>
          </w:p>
        </w:tc>
        <w:tc>
          <w:tcPr>
            <w:tcW w:w="2410" w:type="dxa"/>
            <w:shd w:val="clear" w:color="auto" w:fill="FFFFFF"/>
          </w:tcPr>
          <w:p w14:paraId="3F60F345" w14:textId="3771D6E2" w:rsidR="003B1C04" w:rsidRDefault="00EF0465" w:rsidP="00E84220">
            <w:pPr>
              <w:spacing w:after="0" w:line="240" w:lineRule="auto"/>
              <w:rPr>
                <w:rFonts w:ascii="Arial" w:eastAsia="Times New Roman" w:hAnsi="Arial" w:cs="Arial"/>
                <w:bCs/>
                <w:color w:val="44546A" w:themeColor="text2"/>
                <w:sz w:val="20"/>
                <w:szCs w:val="20"/>
              </w:rPr>
            </w:pPr>
            <w:r w:rsidRPr="00EF0465">
              <w:rPr>
                <w:rFonts w:ascii="Arial" w:eastAsia="Times New Roman" w:hAnsi="Arial" w:cs="Arial"/>
                <w:bCs/>
                <w:color w:val="44546A" w:themeColor="text2"/>
                <w:sz w:val="20"/>
                <w:szCs w:val="20"/>
              </w:rPr>
              <w:t>adherence to safe work practices.</w:t>
            </w:r>
          </w:p>
          <w:p w14:paraId="42ED3F92" w14:textId="77777777" w:rsidR="00EF0465" w:rsidRPr="00EF0465" w:rsidRDefault="00EF0465" w:rsidP="00EF0465">
            <w:pPr>
              <w:jc w:val="center"/>
              <w:rPr>
                <w:rFonts w:ascii="Arial" w:eastAsia="Times New Roman" w:hAnsi="Arial" w:cs="Arial"/>
                <w:sz w:val="20"/>
                <w:szCs w:val="20"/>
              </w:rPr>
            </w:pPr>
          </w:p>
        </w:tc>
        <w:tc>
          <w:tcPr>
            <w:tcW w:w="2835" w:type="dxa"/>
            <w:shd w:val="clear" w:color="auto" w:fill="FFFFFF"/>
          </w:tcPr>
          <w:p w14:paraId="22AC89CD" w14:textId="24015195"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Consultation</w:t>
            </w:r>
          </w:p>
        </w:tc>
        <w:tc>
          <w:tcPr>
            <w:tcW w:w="1984" w:type="dxa"/>
            <w:shd w:val="clear" w:color="auto" w:fill="FFFFFF"/>
          </w:tcPr>
          <w:p w14:paraId="502F3512" w14:textId="52FF57AF"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Communication</w:t>
            </w:r>
          </w:p>
        </w:tc>
      </w:tr>
      <w:tr w:rsidR="00DF7E8E" w:rsidRPr="00AA0F01" w14:paraId="5C8A2821" w14:textId="77777777" w:rsidTr="00DF7E8E">
        <w:trPr>
          <w:trHeight w:val="985"/>
        </w:trPr>
        <w:tc>
          <w:tcPr>
            <w:tcW w:w="4165" w:type="dxa"/>
            <w:shd w:val="clear" w:color="auto" w:fill="FFFFFF"/>
          </w:tcPr>
          <w:p w14:paraId="2BEA7F5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5E24BEB1"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2B47713"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2048E786"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27E6CE6E"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30941CC2" w14:textId="77777777" w:rsidTr="00DF7E8E">
        <w:trPr>
          <w:trHeight w:val="985"/>
        </w:trPr>
        <w:tc>
          <w:tcPr>
            <w:tcW w:w="4165" w:type="dxa"/>
            <w:shd w:val="clear" w:color="auto" w:fill="FFFFFF"/>
          </w:tcPr>
          <w:p w14:paraId="628FE0B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44AD7C2A"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E81385D"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4E5C3135"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41D8ADE6"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077017B3" w14:textId="77777777" w:rsidTr="00DF7E8E">
        <w:trPr>
          <w:trHeight w:val="985"/>
        </w:trPr>
        <w:tc>
          <w:tcPr>
            <w:tcW w:w="4165" w:type="dxa"/>
            <w:shd w:val="clear" w:color="auto" w:fill="FFFFFF"/>
          </w:tcPr>
          <w:p w14:paraId="3B324F7B"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14200531"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2B73E4A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181852F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78343F5F"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1E726" w14:textId="77777777" w:rsidR="009C5132" w:rsidRDefault="009C5132" w:rsidP="009C5132">
      <w:pPr>
        <w:spacing w:after="0" w:line="240" w:lineRule="auto"/>
      </w:pPr>
      <w:r>
        <w:separator/>
      </w:r>
    </w:p>
  </w:endnote>
  <w:endnote w:type="continuationSeparator" w:id="0">
    <w:p w14:paraId="4187F68E" w14:textId="77777777" w:rsidR="009C5132" w:rsidRDefault="009C5132"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56D5A53A" w:rsidR="000E6964" w:rsidRPr="007F42F3" w:rsidRDefault="003677E2"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B93069">
          <w:rPr>
            <w:rFonts w:ascii="Arial" w:eastAsia="Times New Roman"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2A3C123B"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B93069">
          <w:rPr>
            <w:rFonts w:ascii="Arial" w:eastAsia="Times New Roman" w:hAnsi="Arial" w:cs="Arial"/>
            <w:b/>
            <w:sz w:val="16"/>
            <w:szCs w:val="16"/>
          </w:rPr>
          <w:t>v1-0_10/03/2023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16CB0" w14:textId="77777777" w:rsidR="009C5132" w:rsidRDefault="009C5132" w:rsidP="009C5132">
      <w:pPr>
        <w:spacing w:after="0" w:line="240" w:lineRule="auto"/>
      </w:pPr>
      <w:r>
        <w:separator/>
      </w:r>
    </w:p>
  </w:footnote>
  <w:footnote w:type="continuationSeparator" w:id="0">
    <w:p w14:paraId="6CB160B7" w14:textId="77777777" w:rsidR="009C5132" w:rsidRDefault="009C5132"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86B94" w14:textId="1610E7B1" w:rsidR="009C5132" w:rsidRDefault="003677E2"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2041005089"/>
        <w:placeholder>
          <w:docPart w:val="5DA5405AE5D24ADEB2F9A1EEFB09D172"/>
        </w:placeholder>
        <w:dataBinding w:prefixMappings="xmlns:ns0='http://purl.org/dc/elements/1.1/' xmlns:ns1='http://schemas.openxmlformats.org/package/2006/metadata/core-properties' " w:xpath="/ns1:coreProperties[1]/ns1:category[1]" w:storeItemID="{6C3C8BC8-F283-45AE-878A-BAB7291924A1}"/>
        <w:text/>
      </w:sdtPr>
      <w:sdtEndPr/>
      <w:sdtContent>
        <w:r w:rsidR="003029DA">
          <w:rPr>
            <w:rFonts w:ascii="Arial" w:hAnsi="Arial" w:cs="Arial"/>
            <w:b/>
            <w:sz w:val="16"/>
            <w:szCs w:val="16"/>
          </w:rPr>
          <w:t>Handout 3</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B93069">
          <w:rPr>
            <w:rFonts w:ascii="Arial" w:hAnsi="Arial" w:cs="Arial"/>
            <w:b/>
            <w:sz w:val="16"/>
            <w:szCs w:val="16"/>
          </w:rPr>
          <w:t>CPCCBC4010</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B93069">
          <w:rPr>
            <w:rFonts w:ascii="Arial" w:hAnsi="Arial" w:cs="Arial"/>
            <w:b/>
            <w:sz w:val="16"/>
            <w:szCs w:val="16"/>
          </w:rPr>
          <w:t>Apply structural principles to residential and commercial constructions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02E9C" w14:textId="24F1FD1C"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709503163"/>
        <w:placeholder>
          <w:docPart w:val="7E8EE0DBC44B4DFE94F800C149E0C27C"/>
        </w:placeholder>
        <w:dataBinding w:prefixMappings="xmlns:ns0='http://purl.org/dc/elements/1.1/' xmlns:ns1='http://schemas.openxmlformats.org/package/2006/metadata/core-properties' " w:xpath="/ns1:coreProperties[1]/ns1:category[1]" w:storeItemID="{6C3C8BC8-F283-45AE-878A-BAB7291924A1}"/>
        <w:text/>
      </w:sdtPr>
      <w:sdtEndPr/>
      <w:sdtContent>
        <w:r w:rsidR="003029DA" w:rsidRPr="003029DA">
          <w:rPr>
            <w:rFonts w:ascii="Arial" w:hAnsi="Arial" w:cs="Arial"/>
            <w:b/>
            <w:sz w:val="16"/>
            <w:szCs w:val="16"/>
          </w:rPr>
          <w:t>Handout 3</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B93069">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93069">
          <w:rPr>
            <w:rFonts w:ascii="Arial" w:hAnsi="Arial" w:cs="Arial"/>
            <w:b/>
            <w:sz w:val="16"/>
            <w:szCs w:val="16"/>
          </w:rPr>
          <w:t>Apply structural principles to residential and commercial constructions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51F3"/>
    <w:multiLevelType w:val="multilevel"/>
    <w:tmpl w:val="4EA8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66397"/>
    <w:multiLevelType w:val="multilevel"/>
    <w:tmpl w:val="ED6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53456"/>
    <w:multiLevelType w:val="multilevel"/>
    <w:tmpl w:val="FD36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20700"/>
    <w:multiLevelType w:val="multilevel"/>
    <w:tmpl w:val="5088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33529"/>
    <w:multiLevelType w:val="multilevel"/>
    <w:tmpl w:val="2BCC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14760916">
    <w:abstractNumId w:val="6"/>
  </w:num>
  <w:num w:numId="2" w16cid:durableId="45878244">
    <w:abstractNumId w:val="5"/>
  </w:num>
  <w:num w:numId="3" w16cid:durableId="1721631423">
    <w:abstractNumId w:val="7"/>
  </w:num>
  <w:num w:numId="4" w16cid:durableId="1824932384">
    <w:abstractNumId w:val="0"/>
  </w:num>
  <w:num w:numId="5" w16cid:durableId="1488665524">
    <w:abstractNumId w:val="2"/>
  </w:num>
  <w:num w:numId="6" w16cid:durableId="1358236132">
    <w:abstractNumId w:val="4"/>
  </w:num>
  <w:num w:numId="7" w16cid:durableId="926303133">
    <w:abstractNumId w:val="3"/>
  </w:num>
  <w:num w:numId="8" w16cid:durableId="88427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262CD"/>
    <w:rsid w:val="00042DC1"/>
    <w:rsid w:val="0008368F"/>
    <w:rsid w:val="00086D65"/>
    <w:rsid w:val="000A359C"/>
    <w:rsid w:val="000E275F"/>
    <w:rsid w:val="000E6964"/>
    <w:rsid w:val="00195F4B"/>
    <w:rsid w:val="001E4066"/>
    <w:rsid w:val="002966A6"/>
    <w:rsid w:val="002D412E"/>
    <w:rsid w:val="002E71A1"/>
    <w:rsid w:val="003029DA"/>
    <w:rsid w:val="00356CD0"/>
    <w:rsid w:val="003677E2"/>
    <w:rsid w:val="003707F3"/>
    <w:rsid w:val="003B1C04"/>
    <w:rsid w:val="00405B7A"/>
    <w:rsid w:val="004A7014"/>
    <w:rsid w:val="004C79E4"/>
    <w:rsid w:val="005C6694"/>
    <w:rsid w:val="005E11E6"/>
    <w:rsid w:val="00673CF1"/>
    <w:rsid w:val="006C37FD"/>
    <w:rsid w:val="00742C82"/>
    <w:rsid w:val="007639BF"/>
    <w:rsid w:val="00774DBB"/>
    <w:rsid w:val="007D5F43"/>
    <w:rsid w:val="00800479"/>
    <w:rsid w:val="008045D9"/>
    <w:rsid w:val="00863122"/>
    <w:rsid w:val="008727DC"/>
    <w:rsid w:val="008772A5"/>
    <w:rsid w:val="009C5132"/>
    <w:rsid w:val="00A13A49"/>
    <w:rsid w:val="00A52370"/>
    <w:rsid w:val="00A77466"/>
    <w:rsid w:val="00A85F24"/>
    <w:rsid w:val="00AA0F01"/>
    <w:rsid w:val="00AD63EE"/>
    <w:rsid w:val="00B27B78"/>
    <w:rsid w:val="00B93069"/>
    <w:rsid w:val="00BA5E42"/>
    <w:rsid w:val="00BD7D15"/>
    <w:rsid w:val="00BF0646"/>
    <w:rsid w:val="00C633D3"/>
    <w:rsid w:val="00D55BE0"/>
    <w:rsid w:val="00D73E5E"/>
    <w:rsid w:val="00DF7E8E"/>
    <w:rsid w:val="00E01439"/>
    <w:rsid w:val="00E01B94"/>
    <w:rsid w:val="00E3137C"/>
    <w:rsid w:val="00E31EB6"/>
    <w:rsid w:val="00E47AA8"/>
    <w:rsid w:val="00E84220"/>
    <w:rsid w:val="00E84316"/>
    <w:rsid w:val="00EF0465"/>
    <w:rsid w:val="00F10A38"/>
    <w:rsid w:val="00F50489"/>
    <w:rsid w:val="00FA1572"/>
    <w:rsid w:val="00FA2BE9"/>
    <w:rsid w:val="00FA6297"/>
    <w:rsid w:val="00FC439C"/>
    <w:rsid w:val="00FC57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3029DA"/>
    <w:rPr>
      <w:color w:val="808080"/>
    </w:rPr>
  </w:style>
  <w:style w:type="character" w:styleId="Hyperlink">
    <w:name w:val="Hyperlink"/>
    <w:basedOn w:val="DefaultParagraphFont"/>
    <w:uiPriority w:val="99"/>
    <w:unhideWhenUsed/>
    <w:rsid w:val="00A52370"/>
    <w:rPr>
      <w:color w:val="0563C1" w:themeColor="hyperlink"/>
      <w:u w:val="single"/>
    </w:rPr>
  </w:style>
  <w:style w:type="character" w:styleId="UnresolvedMention">
    <w:name w:val="Unresolved Mention"/>
    <w:basedOn w:val="DefaultParagraphFont"/>
    <w:uiPriority w:val="99"/>
    <w:semiHidden/>
    <w:unhideWhenUsed/>
    <w:rsid w:val="00A5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171142038">
      <w:bodyDiv w:val="1"/>
      <w:marLeft w:val="0"/>
      <w:marRight w:val="0"/>
      <w:marTop w:val="0"/>
      <w:marBottom w:val="0"/>
      <w:divBdr>
        <w:top w:val="none" w:sz="0" w:space="0" w:color="auto"/>
        <w:left w:val="none" w:sz="0" w:space="0" w:color="auto"/>
        <w:bottom w:val="none" w:sz="0" w:space="0" w:color="auto"/>
        <w:right w:val="none" w:sz="0" w:space="0" w:color="auto"/>
      </w:divBdr>
    </w:div>
    <w:div w:id="399979910">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686293961">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47330173">
      <w:bodyDiv w:val="1"/>
      <w:marLeft w:val="0"/>
      <w:marRight w:val="0"/>
      <w:marTop w:val="0"/>
      <w:marBottom w:val="0"/>
      <w:divBdr>
        <w:top w:val="none" w:sz="0" w:space="0" w:color="auto"/>
        <w:left w:val="none" w:sz="0" w:space="0" w:color="auto"/>
        <w:bottom w:val="none" w:sz="0" w:space="0" w:color="auto"/>
        <w:right w:val="none" w:sz="0" w:space="0" w:color="auto"/>
      </w:divBdr>
    </w:div>
    <w:div w:id="1846549997">
      <w:bodyDiv w:val="1"/>
      <w:marLeft w:val="0"/>
      <w:marRight w:val="0"/>
      <w:marTop w:val="0"/>
      <w:marBottom w:val="0"/>
      <w:divBdr>
        <w:top w:val="none" w:sz="0" w:space="0" w:color="auto"/>
        <w:left w:val="none" w:sz="0" w:space="0" w:color="auto"/>
        <w:bottom w:val="none" w:sz="0" w:space="0" w:color="auto"/>
        <w:right w:val="none" w:sz="0" w:space="0" w:color="auto"/>
      </w:divBdr>
    </w:div>
    <w:div w:id="185953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E8EE0DBC44B4DFE94F800C149E0C27C"/>
        <w:category>
          <w:name w:val="General"/>
          <w:gallery w:val="placeholder"/>
        </w:category>
        <w:types>
          <w:type w:val="bbPlcHdr"/>
        </w:types>
        <w:behaviors>
          <w:behavior w:val="content"/>
        </w:behaviors>
        <w:guid w:val="{D7D90C31-33AC-47A5-804F-FE8A585874B0}"/>
      </w:docPartPr>
      <w:docPartBody>
        <w:p w:rsidR="007565F6" w:rsidRDefault="007565F6">
          <w:r w:rsidRPr="00464225">
            <w:rPr>
              <w:rStyle w:val="PlaceholderText"/>
            </w:rPr>
            <w:t>[Category]</w:t>
          </w:r>
        </w:p>
      </w:docPartBody>
    </w:docPart>
    <w:docPart>
      <w:docPartPr>
        <w:name w:val="5DA5405AE5D24ADEB2F9A1EEFB09D172"/>
        <w:category>
          <w:name w:val="General"/>
          <w:gallery w:val="placeholder"/>
        </w:category>
        <w:types>
          <w:type w:val="bbPlcHdr"/>
        </w:types>
        <w:behaviors>
          <w:behavior w:val="content"/>
        </w:behaviors>
        <w:guid w:val="{0AFE405F-1E9C-4F26-9B6F-7380B6B6BC45}"/>
      </w:docPartPr>
      <w:docPartBody>
        <w:p w:rsidR="007565F6" w:rsidRDefault="007565F6">
          <w:r w:rsidRPr="00464225">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5F6"/>
    <w:rsid w:val="007565F6"/>
    <w:rsid w:val="00FC57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F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65F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2498</Words>
  <Characters>14243</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Heidi Newton</dc:creator>
  <cp:keywords/>
  <dc:description/>
  <cp:lastModifiedBy>Adrian Wyatt</cp:lastModifiedBy>
  <cp:revision>2</cp:revision>
  <cp:lastPrinted>2022-02-08T03:08:00Z</cp:lastPrinted>
  <dcterms:created xsi:type="dcterms:W3CDTF">2024-08-09T01:41:00Z</dcterms:created>
  <dcterms:modified xsi:type="dcterms:W3CDTF">2024-08-09T01:41:00Z</dcterms:modified>
  <cp:category>Handout 3</cp:category>
  <cp:contentStatus>v1-0_10/03/2023</cp:contentStatus>
</cp:coreProperties>
</file>