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160" w:line="259"/>
        <w:ind w:right="0" w:left="0" w:firstLine="0"/>
        <w:jc w:val="left"/>
        <w:rPr>
          <w:rFonts w:ascii="Calibri" w:hAnsi="Calibri" w:cs="Calibri" w:eastAsia="Calibri"/>
          <w:i/>
          <w:color w:val="auto"/>
          <w:spacing w:val="0"/>
          <w:position w:val="0"/>
          <w:sz w:val="20"/>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center"/>
        <w:rPr>
          <w:rFonts w:ascii="Arial" w:hAnsi="Arial" w:cs="Arial" w:eastAsia="Arial"/>
          <w:b/>
          <w:color w:val="auto"/>
          <w:spacing w:val="0"/>
          <w:position w:val="0"/>
          <w:sz w:val="22"/>
          <w:shd w:fill="232F84" w:val="clear"/>
        </w:rPr>
      </w:pPr>
      <w:r>
        <w:rPr>
          <w:rFonts w:ascii="Arial" w:hAnsi="Arial" w:cs="Arial" w:eastAsia="Arial"/>
          <w:b/>
          <w:color w:val="auto"/>
          <w:spacing w:val="0"/>
          <w:position w:val="0"/>
          <w:sz w:val="22"/>
          <w:shd w:fill="232F84" w:val="clear"/>
        </w:rPr>
        <w:t xml:space="preserve">ASSESSMENT FOR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652"/>
        <w:gridCol w:w="5583"/>
      </w:tblGrid>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Student name</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Kevin Larney</w:t>
            </w: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Date of assessment submission</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3652"/>
        <w:gridCol w:w="5583"/>
      </w:tblGrid>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Trainer/Assessor’s name</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Tui</w:t>
            </w: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Date of assessment marking</w:t>
            </w:r>
          </w:p>
        </w:tc>
      </w:tr>
      <w:tr>
        <w:trPr>
          <w:trHeight w:val="1" w:hRule="atLeast"/>
          <w:jc w:val="left"/>
        </w:trPr>
        <w:tc>
          <w:tcPr>
            <w:tcW w:w="36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unit</w:t>
            </w:r>
          </w:p>
        </w:tc>
        <w:tc>
          <w:tcPr>
            <w:tcW w:w="55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Competent</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Yet Competent</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E4A077" w:val="clear"/>
        </w:rPr>
      </w:pPr>
      <w:r>
        <w:rPr>
          <w:rFonts w:ascii="Arial" w:hAnsi="Arial" w:cs="Arial" w:eastAsia="Arial"/>
          <w:b/>
          <w:color w:val="auto"/>
          <w:spacing w:val="0"/>
          <w:position w:val="0"/>
          <w:sz w:val="22"/>
          <w:shd w:fill="E4A077" w:val="clear"/>
        </w:rPr>
        <w:t xml:space="preserve">TASK INSTRUCTIONS</w:t>
      </w:r>
    </w:p>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25"/>
        </w:numPr>
        <w:spacing w:before="0" w:after="0" w:line="240"/>
        <w:ind w:right="0" w:left="36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 part of the assessment for this unit of competency, you are required to complete a series of activities.</w:t>
      </w:r>
    </w:p>
    <w:p>
      <w:pPr>
        <w:numPr>
          <w:ilvl w:val="0"/>
          <w:numId w:val="25"/>
        </w:numPr>
        <w:spacing w:before="0" w:after="0" w:line="240"/>
        <w:ind w:right="0" w:left="108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Some of these activities will require you to provide a response within this document, others will require you to gather evidence to demonstrate your knowledge and skills.</w:t>
      </w:r>
    </w:p>
    <w:p>
      <w:pPr>
        <w:numPr>
          <w:ilvl w:val="0"/>
          <w:numId w:val="25"/>
        </w:numPr>
        <w:spacing w:before="0" w:after="0" w:line="240"/>
        <w:ind w:right="0" w:left="36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all times, the responses in your assessment must reference </w:t>
      </w:r>
      <w:r>
        <w:rPr>
          <w:rFonts w:ascii="Arial" w:hAnsi="Arial" w:cs="Arial" w:eastAsia="Arial"/>
          <w:b/>
          <w:color w:val="auto"/>
          <w:spacing w:val="0"/>
          <w:position w:val="0"/>
          <w:sz w:val="22"/>
          <w:shd w:fill="auto" w:val="clear"/>
        </w:rPr>
        <w:t xml:space="preserve">Australian </w:t>
      </w:r>
      <w:r>
        <w:rPr>
          <w:rFonts w:ascii="Arial" w:hAnsi="Arial" w:cs="Arial" w:eastAsia="Arial"/>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E4A077" w:val="clear"/>
        </w:rPr>
      </w:pPr>
      <w:r>
        <w:rPr>
          <w:rFonts w:ascii="Arial" w:hAnsi="Arial" w:cs="Arial" w:eastAsia="Arial"/>
          <w:b/>
          <w:color w:val="auto"/>
          <w:spacing w:val="0"/>
          <w:position w:val="0"/>
          <w:sz w:val="22"/>
          <w:shd w:fill="E4A077" w:val="clear"/>
        </w:rPr>
        <w:t xml:space="preserve">ACTIVITIES</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3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Identify/list the scope of the work to be carried out from the concept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5608" w:dyaOrig="8321">
                <v:rect xmlns:o="urn:schemas-microsoft-com:office:office" xmlns:v="urn:schemas-microsoft-com:vml" id="rectole0000000000" style="width:280.400000pt;height:416.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main things that need work carried out on include: </w:t>
            </w:r>
          </w:p>
          <w:p>
            <w:pPr>
              <w:keepNext w:val="true"/>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Garage, entry, public area, pedestrian access, screen, paved area, deck, and pod.</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1</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760"/>
      </w:tblGrid>
      <w:tr>
        <w:trPr>
          <w:trHeight w:val="1" w:hRule="atLeast"/>
          <w:jc w:val="left"/>
        </w:trPr>
        <w:tc>
          <w:tcPr>
            <w:tcW w:w="976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5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760"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Identify/list the detail on the landscape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9779" w:dyaOrig="5973">
                <v:rect xmlns:o="urn:schemas-microsoft-com:office:office" xmlns:v="urn:schemas-microsoft-com:vml" id="rectole0000000001" style="width:488.950000pt;height:298.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center"/>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details on the landscape plan include:</w:t>
            </w:r>
          </w:p>
          <w:p>
            <w:pPr>
              <w:keepNext w:val="true"/>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Name, address, date, scale, direction, symbol key, materials, equipment and tools.</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2</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7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List the materials required to complete the water feature, by using the wall and water feature construction plan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969" w:dyaOrig="4333">
                <v:rect xmlns:o="urn:schemas-microsoft-com:office:office" xmlns:v="urn:schemas-microsoft-com:vml" id="rectole0000000002" style="width:448.450000pt;height:216.6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929" w:dyaOrig="6276">
                <v:rect xmlns:o="urn:schemas-microsoft-com:office:office" xmlns:v="urn:schemas-microsoft-com:vml" id="rectole0000000003" style="width:446.450000pt;height:313.8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center"/>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Concrete, sand, gravel or crushed stone, rocks and stones, wood mulch, wood timbers, soil, stone, brick, bituminous paving, filter mat, steel, re-bar, bolts and rod.</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3</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9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and list relevant laws and standards relating to concreting works </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(e.g. Building Codes, Australian Standards, Codes of Practice)</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1982"/>
        <w:gridCol w:w="7260"/>
      </w:tblGrid>
      <w:tr>
        <w:trPr>
          <w:trHeight w:val="1" w:hRule="atLeast"/>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726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Name of document</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08"/>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Laws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Acts and regulations</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11"/>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Standards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Bedding depth, level and falls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Shape, depth and dimensions of sub base level</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Finished level of base material</w:t>
            </w:r>
          </w:p>
        </w:tc>
      </w:tr>
      <w:tr>
        <w:trPr>
          <w:trHeight w:val="1134" w:hRule="auto"/>
          <w:jc w:val="left"/>
        </w:trPr>
        <w:tc>
          <w:tcPr>
            <w:tcW w:w="198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14"/>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Codes</w:t>
            </w:r>
          </w:p>
        </w:tc>
        <w:tc>
          <w:tcPr>
            <w:tcW w:w="7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Code of practice 2019</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4</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2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List the components for four (4) common surface drainage systems used in landscape construction.</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1952"/>
        <w:gridCol w:w="7290"/>
      </w:tblGrid>
      <w:tr>
        <w:trPr>
          <w:trHeight w:val="1" w:hRule="atLeast"/>
          <w:jc w:val="left"/>
        </w:trPr>
        <w:tc>
          <w:tcPr>
            <w:tcW w:w="19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System</w:t>
            </w:r>
          </w:p>
        </w:tc>
        <w:tc>
          <w:tcPr>
            <w:tcW w:w="72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Components</w:t>
            </w:r>
          </w:p>
        </w:tc>
      </w:tr>
      <w:tr>
        <w:trPr>
          <w:trHeight w:val="1134" w:hRule="auto"/>
          <w:jc w:val="left"/>
        </w:trPr>
        <w:tc>
          <w:tcPr>
            <w:tcW w:w="19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6"/>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Spoon</w:t>
            </w:r>
          </w:p>
        </w:tc>
        <w:tc>
          <w:tcPr>
            <w:tcW w:w="72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U-shaped concrete channel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Grate cover</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Dturdy and long lasting</w:t>
            </w:r>
          </w:p>
        </w:tc>
      </w:tr>
      <w:tr>
        <w:trPr>
          <w:trHeight w:val="1134" w:hRule="auto"/>
          <w:jc w:val="left"/>
        </w:trPr>
        <w:tc>
          <w:tcPr>
            <w:tcW w:w="19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39"/>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Channel and grate</w:t>
            </w:r>
          </w:p>
        </w:tc>
        <w:tc>
          <w:tcPr>
            <w:tcW w:w="72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Trash box and outlet options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 caps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Gratings</w:t>
            </w:r>
          </w:p>
        </w:tc>
      </w:tr>
      <w:tr>
        <w:trPr>
          <w:trHeight w:val="1134" w:hRule="auto"/>
          <w:jc w:val="left"/>
        </w:trPr>
        <w:tc>
          <w:tcPr>
            <w:tcW w:w="19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2"/>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Pit</w:t>
            </w:r>
          </w:p>
        </w:tc>
        <w:tc>
          <w:tcPr>
            <w:tcW w:w="72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Curbs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Gutters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Inlets</w:t>
            </w:r>
          </w:p>
        </w:tc>
      </w:tr>
      <w:tr>
        <w:trPr>
          <w:trHeight w:val="1134" w:hRule="auto"/>
          <w:jc w:val="left"/>
        </w:trPr>
        <w:tc>
          <w:tcPr>
            <w:tcW w:w="195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145"/>
              </w:numPr>
              <w:spacing w:before="0" w:after="0" w:line="240"/>
              <w:ind w:right="0" w:left="340" w:hanging="340"/>
              <w:jc w:val="left"/>
              <w:rPr>
                <w:color w:val="auto"/>
                <w:spacing w:val="0"/>
                <w:position w:val="0"/>
                <w:sz w:val="22"/>
              </w:rPr>
            </w:pPr>
            <w:r>
              <w:rPr>
                <w:rFonts w:ascii="Arial" w:hAnsi="Arial" w:cs="Arial" w:eastAsia="Arial"/>
                <w:b/>
                <w:color w:val="auto"/>
                <w:spacing w:val="0"/>
                <w:position w:val="0"/>
                <w:sz w:val="22"/>
                <w:shd w:fill="auto" w:val="clear"/>
              </w:rPr>
              <w:t xml:space="preserve">Contour</w:t>
            </w:r>
          </w:p>
        </w:tc>
        <w:tc>
          <w:tcPr>
            <w:tcW w:w="72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Disturbed slopes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Stable outlets</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End caps</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5</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5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List the advantages and disadvantages of drainage behind and through the build wall (as shown).</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color w:val="auto"/>
                <w:spacing w:val="0"/>
                <w:position w:val="0"/>
                <w:sz w:val="22"/>
                <w:shd w:fill="auto" w:val="clear"/>
              </w:rPr>
            </w:pPr>
            <w:r>
              <w:object w:dxaOrig="8908" w:dyaOrig="3887">
                <v:rect xmlns:o="urn:schemas-microsoft-com:office:office" xmlns:v="urn:schemas-microsoft-com:vml" id="rectole0000000004" style="width:445.400000pt;height:194.3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240"/>
              <w:ind w:right="0" w:left="0" w:firstLine="0"/>
              <w:jc w:val="left"/>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Drainage pipe behind the wall</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Easier to install</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Disadvantages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flow is less efficient</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Drainage pipe through the wall </w:t>
            </w:r>
          </w:p>
        </w:tc>
      </w:tr>
      <w:tr>
        <w:trPr>
          <w:trHeight w:val="285" w:hRule="auto"/>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flow is more efficient</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Disadvantages</w:t>
            </w:r>
          </w:p>
        </w:tc>
      </w:tr>
      <w:tr>
        <w:trPr>
          <w:trHeight w:val="850"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as aesthetic </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6</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0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Explain the purpose of a slump test. Describe the process of how such a test is conducted.</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slump test measures the consistency of fresh concrete before it sets. It is performed to check the workability of freshly made concrete, and therefore the ease with which concrete flows. Fill the cup with freshly mixed concrete and pack it well. Place the filled cup upside-down on a flat, rigid surface. With your hands, carefully vibrate the cup in a steady lifting motion without stopping. Measure the distance of the slump with a ruler.</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7</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2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Research and list a range of curing compounds and the advantages of using each type</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2235"/>
        <w:gridCol w:w="7007"/>
      </w:tblGrid>
      <w:tr>
        <w:trPr>
          <w:trHeight w:val="1" w:hRule="atLeast"/>
          <w:jc w:val="left"/>
        </w:trPr>
        <w:tc>
          <w:tcPr>
            <w:tcW w:w="223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Curing compound</w:t>
            </w:r>
          </w:p>
        </w:tc>
        <w:tc>
          <w:tcPr>
            <w:tcW w:w="700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Advantages</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38"/>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Eco-Cure</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solvents, Hydrocarbons or Resins of any type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wax or wax based additives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odour before or after application</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1"/>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Evencure AA</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Reduces plastic shrinkage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Totally waterbased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not affect adhesion of after trades</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4"/>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Evencure AC</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Dries to a clear finish</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Complies with Australian Standard AS3799</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Achieves water retention of 90% or greater</w:t>
            </w:r>
          </w:p>
        </w:tc>
      </w:tr>
      <w:tr>
        <w:trPr>
          <w:trHeight w:val="1134" w:hRule="auto"/>
          <w:jc w:val="left"/>
        </w:trPr>
        <w:tc>
          <w:tcPr>
            <w:tcW w:w="223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numPr>
                <w:ilvl w:val="0"/>
                <w:numId w:val="247"/>
              </w:numPr>
              <w:spacing w:before="0" w:after="0" w:line="240"/>
              <w:ind w:right="0" w:left="340" w:hanging="34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Evencure BCP</w:t>
            </w:r>
          </w:p>
        </w:tc>
        <w:tc>
          <w:tcPr>
            <w:tcW w:w="70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Complies with Australian Standards AS3799</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Achieves water retention of &gt;90%</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Contains no wax</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8</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6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List environmentally safe products for cleaning.</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Response </w:t>
            </w:r>
          </w:p>
        </w:tc>
      </w:tr>
      <w:tr>
        <w:trPr>
          <w:trHeight w:val="1701"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On-Crete's General Purpose Concrete Cleaner</w:t>
            </w:r>
          </w:p>
          <w:p>
            <w:pPr>
              <w:keepNext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 SECONDS® Outdoor Cleaner products</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9</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8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a1d7e1"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Have team members take photos and videos of your involvement with concrete features.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Identify each photo / video with a letter label and describe each photo / video in the table below. Submit the photo / video files along with this workbook.</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523"/>
        <w:gridCol w:w="8719"/>
      </w:tblGrid>
      <w:tr>
        <w:trPr>
          <w:trHeight w:val="1" w:hRule="atLeast"/>
          <w:jc w:val="left"/>
        </w:trPr>
        <w:tc>
          <w:tcPr>
            <w:tcW w:w="9242" w:type="dxa"/>
            <w:gridSpan w:val="2"/>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Advantages</w:t>
            </w: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B</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F</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G</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H</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J</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K</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M</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O</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Q</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U</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V</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82" w:hRule="auto"/>
          <w:jc w:val="left"/>
        </w:trPr>
        <w:tc>
          <w:tcPr>
            <w:tcW w:w="5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Z</w:t>
            </w:r>
          </w:p>
        </w:tc>
        <w:tc>
          <w:tcPr>
            <w:tcW w:w="87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3227"/>
        <w:gridCol w:w="6015"/>
      </w:tblGrid>
      <w:tr>
        <w:trPr>
          <w:trHeight w:val="1" w:hRule="atLeast"/>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Outcome for Activity 10</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Satisfactory </w:t>
              <w:tab/>
            </w:r>
          </w:p>
          <w:p>
            <w:pPr>
              <w:keepNext w:val="true"/>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 Not satisfactory</w:t>
            </w:r>
          </w:p>
        </w:tc>
      </w:tr>
      <w:tr>
        <w:trPr>
          <w:trHeight w:val="2835" w:hRule="auto"/>
          <w:jc w:val="left"/>
        </w:trPr>
        <w:tc>
          <w:tcPr>
            <w:tcW w:w="3227"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keepNext w:val="true"/>
              <w:spacing w:before="0" w:after="0" w:line="240"/>
              <w:ind w:right="0" w:left="0" w:firstLine="0"/>
              <w:jc w:val="left"/>
              <w:rPr>
                <w:color w:val="auto"/>
                <w:spacing w:val="0"/>
                <w:position w:val="0"/>
                <w:sz w:val="22"/>
              </w:rPr>
            </w:pPr>
            <w:r>
              <w:rPr>
                <w:rFonts w:ascii="Arial" w:hAnsi="Arial" w:cs="Arial" w:eastAsia="Arial"/>
                <w:b/>
                <w:color w:val="auto"/>
                <w:spacing w:val="0"/>
                <w:position w:val="0"/>
                <w:sz w:val="22"/>
                <w:shd w:fill="auto" w:val="clear"/>
              </w:rPr>
              <w:t xml:space="preserve">Trainer/Assessor comments</w:t>
            </w:r>
          </w:p>
        </w:tc>
        <w:tc>
          <w:tcPr>
            <w:tcW w:w="60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num w:numId="25">
    <w:abstractNumId w:val="126"/>
  </w:num>
  <w:num w:numId="32">
    <w:abstractNumId w:val="120"/>
  </w:num>
  <w:num w:numId="54">
    <w:abstractNumId w:val="114"/>
  </w:num>
  <w:num w:numId="76">
    <w:abstractNumId w:val="108"/>
  </w:num>
  <w:num w:numId="98">
    <w:abstractNumId w:val="102"/>
  </w:num>
  <w:num w:numId="108">
    <w:abstractNumId w:val="96"/>
  </w:num>
  <w:num w:numId="111">
    <w:abstractNumId w:val="90"/>
  </w:num>
  <w:num w:numId="114">
    <w:abstractNumId w:val="84"/>
  </w:num>
  <w:num w:numId="126">
    <w:abstractNumId w:val="78"/>
  </w:num>
  <w:num w:numId="136">
    <w:abstractNumId w:val="72"/>
  </w:num>
  <w:num w:numId="139">
    <w:abstractNumId w:val="66"/>
  </w:num>
  <w:num w:numId="142">
    <w:abstractNumId w:val="60"/>
  </w:num>
  <w:num w:numId="145">
    <w:abstractNumId w:val="54"/>
  </w:num>
  <w:num w:numId="158">
    <w:abstractNumId w:val="48"/>
  </w:num>
  <w:num w:numId="207">
    <w:abstractNumId w:val="42"/>
  </w:num>
  <w:num w:numId="228">
    <w:abstractNumId w:val="36"/>
  </w:num>
  <w:num w:numId="238">
    <w:abstractNumId w:val="30"/>
  </w:num>
  <w:num w:numId="241">
    <w:abstractNumId w:val="24"/>
  </w:num>
  <w:num w:numId="244">
    <w:abstractNumId w:val="18"/>
  </w:num>
  <w:num w:numId="247">
    <w:abstractNumId w:val="12"/>
  </w:num>
  <w:num w:numId="260">
    <w:abstractNumId w:val="6"/>
  </w:num>
  <w:num w:numId="28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