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120" w:after="120" w:line="276" w:lineRule="auto"/>
        <w:jc w:val="center"/>
        <w:rPr>
          <w:rFonts w:asciiTheme="minorHAnsi" w:hAnsiTheme="minorHAnsi" w:cstheme="minorHAnsi"/>
        </w:rPr>
      </w:pPr>
      <w:r>
        <w:rPr>
          <w:rFonts w:asciiTheme="minorHAnsi" w:hAnsiTheme="minorHAnsi" w:cstheme="minorHAnsi"/>
        </w:rPr>
        <w:t>Workplace Assessment 4 – Assessor’s Checklist</w:t>
      </w:r>
    </w:p>
    <w:p>
      <w:pPr>
        <w:spacing w:before="120" w:after="120" w:line="276" w:lineRule="auto"/>
        <w:ind w:right="86"/>
        <w:jc w:val="center"/>
        <w:rPr>
          <w:rFonts w:cstheme="minorHAnsi"/>
          <w:i/>
          <w:iCs/>
          <w:color w:val="262626" w:themeColor="text1" w:themeTint="D9"/>
          <w14:textFill>
            <w14:solidFill>
              <w14:schemeClr w14:val="tx1">
                <w14:lumMod w14:val="85000"/>
                <w14:lumOff w14:val="15000"/>
              </w14:schemeClr>
            </w14:solidFill>
          </w14:textFill>
        </w:rPr>
      </w:pPr>
      <w:r>
        <w:rPr>
          <w:rFonts w:cstheme="minorHAnsi"/>
          <w:i/>
          <w:iCs/>
          <w:color w:val="262626" w:themeColor="text1" w:themeTint="D9"/>
          <w14:textFill>
            <w14:solidFill>
              <w14:schemeClr w14:val="tx1">
                <w14:lumMod w14:val="85000"/>
                <w14:lumOff w14:val="15000"/>
              </w14:schemeClr>
            </w14:solidFill>
          </w14:textFill>
        </w:rPr>
        <w:t>(This form is for the assessor’s use only)</w:t>
      </w:r>
    </w:p>
    <w:p>
      <w:pPr>
        <w:spacing w:before="120" w:after="120" w:line="276" w:lineRule="auto"/>
        <w:ind w:right="86"/>
        <w:jc w:val="center"/>
        <w:rPr>
          <w:rFonts w:cstheme="minorHAnsi"/>
          <w:i/>
          <w:iCs/>
          <w:color w:val="262626" w:themeColor="text1" w:themeTint="D9"/>
          <w14:textFill>
            <w14:solidFill>
              <w14:schemeClr w14:val="tx1">
                <w14:lumMod w14:val="85000"/>
                <w14:lumOff w14:val="15000"/>
              </w14:schemeClr>
            </w14:solidFill>
          </w14:textFill>
        </w:rPr>
      </w:pP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Purpose</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This </w:t>
      </w:r>
      <w:r>
        <w:rPr>
          <w:rFonts w:cstheme="minorHAnsi"/>
          <w:i/>
          <w:iCs/>
          <w:color w:val="262626" w:themeColor="text1" w:themeTint="D9"/>
          <w:sz w:val="20"/>
          <w:szCs w:val="20"/>
          <w14:textFill>
            <w14:solidFill>
              <w14:schemeClr w14:val="tx1">
                <w14:lumMod w14:val="85000"/>
                <w14:lumOff w14:val="15000"/>
              </w14:schemeClr>
            </w14:solidFill>
          </w14:textFill>
        </w:rPr>
        <w:t>Assessor’s Checklist</w:t>
      </w:r>
      <w:r>
        <w:rPr>
          <w:rFonts w:cstheme="minorHAnsi"/>
          <w:sz w:val="20"/>
          <w:szCs w:val="20"/>
        </w:rPr>
        <w:t xml:space="preserve"> </w:t>
      </w:r>
      <w:r>
        <w:rPr>
          <w:rFonts w:cstheme="minorHAnsi"/>
          <w:color w:val="262626" w:themeColor="text1" w:themeTint="D9"/>
          <w:sz w:val="20"/>
          <w:szCs w:val="20"/>
          <w14:textFill>
            <w14:solidFill>
              <w14:schemeClr w14:val="tx1">
                <w14:lumMod w14:val="85000"/>
                <w14:lumOff w14:val="15000"/>
              </w14:schemeClr>
            </w14:solidFill>
          </w14:textFill>
        </w:rPr>
        <w:t xml:space="preserve">lists the practical skills that the candidate must demonstrate/perform while completing </w:t>
      </w:r>
      <w:r>
        <w:rPr>
          <w:rFonts w:cstheme="minorHAnsi"/>
          <w:b/>
          <w:bCs/>
          <w:color w:val="262626" w:themeColor="text1" w:themeTint="D9"/>
          <w:sz w:val="20"/>
          <w:szCs w:val="20"/>
          <w14:textFill>
            <w14:solidFill>
              <w14:schemeClr w14:val="tx1">
                <w14:lumMod w14:val="85000"/>
                <w14:lumOff w14:val="15000"/>
              </w14:schemeClr>
            </w14:solidFill>
          </w14:textFill>
        </w:rPr>
        <w:t>Workplace Assessment 4.</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This form is to be completed by the candidate’s assessor to document the candidate’s performance in Workplace Assessment 4.</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Task Overview</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For this task, the candidate is required to supervise on-site delivery of building materials.</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In this task, the candidate will be assessed in their:</w:t>
      </w:r>
    </w:p>
    <w:p>
      <w:pPr>
        <w:pStyle w:val="18"/>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Practical knowledge relevant to the on-site delivery of the building materials.</w:t>
      </w:r>
    </w:p>
    <w:p>
      <w:pPr>
        <w:pStyle w:val="18"/>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Practical skills relevant to supervising the onsite delivery of the building materials</w:t>
      </w: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Instructions to the Assessor</w:t>
      </w:r>
    </w:p>
    <w:p>
      <w:pPr>
        <w:pStyle w:val="4"/>
        <w:spacing w:before="120" w:after="120" w:line="276" w:lineRule="auto"/>
        <w:rPr>
          <w:color w:val="262626" w:themeColor="text1" w:themeTint="D9"/>
          <w:sz w:val="22"/>
          <w:szCs w:val="22"/>
          <w14:textFill>
            <w14:solidFill>
              <w14:schemeClr w14:val="tx1">
                <w14:lumMod w14:val="85000"/>
                <w14:lumOff w14:val="15000"/>
              </w14:schemeClr>
            </w14:solidFill>
          </w14:textFill>
        </w:rPr>
      </w:pPr>
      <w:r>
        <w:rPr>
          <w:color w:val="262626" w:themeColor="text1" w:themeTint="D9"/>
          <w:sz w:val="22"/>
          <w:szCs w:val="22"/>
          <w14:textFill>
            <w14:solidFill>
              <w14:schemeClr w14:val="tx1">
                <w14:lumMod w14:val="85000"/>
                <w14:lumOff w14:val="15000"/>
              </w14:schemeClr>
            </w14:solidFill>
          </w14:textFill>
        </w:rPr>
        <w:t>During the assessment</w:t>
      </w:r>
    </w:p>
    <w:p>
      <w:pPr>
        <w:pStyle w:val="18"/>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bookmarkStart w:id="0" w:name="_Hlk41043736"/>
      <w:r>
        <w:rPr>
          <w:rFonts w:cstheme="minorHAnsi"/>
          <w:color w:val="262626" w:themeColor="text1" w:themeTint="D9"/>
          <w:sz w:val="20"/>
          <w:szCs w:val="20"/>
          <w14:textFill>
            <w14:solidFill>
              <w14:schemeClr w14:val="tx1">
                <w14:lumMod w14:val="85000"/>
                <w14:lumOff w14:val="15000"/>
              </w14:schemeClr>
            </w14:solidFill>
          </w14:textFill>
        </w:rPr>
        <w:t>For each practical skill listed in this Assessor’s Checklist:</w:t>
      </w:r>
    </w:p>
    <w:p>
      <w:pPr>
        <w:pStyle w:val="18"/>
        <w:numPr>
          <w:ilvl w:val="1"/>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Tick YES if you confirm you have assessed the candidate demonstrate/perform the practical skill.</w:t>
      </w:r>
    </w:p>
    <w:p>
      <w:pPr>
        <w:pStyle w:val="18"/>
        <w:numPr>
          <w:ilvl w:val="1"/>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Tick NO if you have not assessed the candidate demonstrate/perform the practical skill.</w:t>
      </w:r>
    </w:p>
    <w:p>
      <w:pPr>
        <w:pStyle w:val="18"/>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If you ticked YES, provide the date when you assessed the candidate demonstrate the skill.</w:t>
      </w:r>
    </w:p>
    <w:bookmarkEnd w:id="0"/>
    <w:p>
      <w:pPr>
        <w:pStyle w:val="18"/>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Write specific comments on the candidate’s performance in each criterion. Your feedback/insights will help address any area/s for improvement. </w:t>
      </w:r>
    </w:p>
    <w:p>
      <w:pPr>
        <w:pStyle w:val="4"/>
        <w:spacing w:before="120" w:after="120" w:line="276" w:lineRule="auto"/>
        <w:rPr>
          <w:color w:val="262626" w:themeColor="text1" w:themeTint="D9"/>
          <w:sz w:val="22"/>
          <w:szCs w:val="22"/>
          <w14:textFill>
            <w14:solidFill>
              <w14:schemeClr w14:val="tx1">
                <w14:lumMod w14:val="85000"/>
                <w14:lumOff w14:val="15000"/>
              </w14:schemeClr>
            </w14:solidFill>
          </w14:textFill>
        </w:rPr>
      </w:pPr>
      <w:r>
        <w:rPr>
          <w:color w:val="262626" w:themeColor="text1" w:themeTint="D9"/>
          <w:sz w:val="22"/>
          <w:szCs w:val="22"/>
          <w14:textFill>
            <w14:solidFill>
              <w14:schemeClr w14:val="tx1">
                <w14:lumMod w14:val="85000"/>
                <w14:lumOff w14:val="15000"/>
              </w14:schemeClr>
            </w14:solidFill>
          </w14:textFill>
        </w:rPr>
        <w:t>After the assessment</w:t>
      </w:r>
    </w:p>
    <w:p>
      <w:pPr>
        <w:pStyle w:val="18"/>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Complete all parts of the </w:t>
      </w:r>
      <w:r>
        <w:rPr>
          <w:rFonts w:cstheme="minorHAnsi"/>
          <w:i/>
          <w:iCs/>
          <w:color w:val="262626" w:themeColor="text1" w:themeTint="D9"/>
          <w:sz w:val="20"/>
          <w:szCs w:val="20"/>
          <w14:textFill>
            <w14:solidFill>
              <w14:schemeClr w14:val="tx1">
                <w14:lumMod w14:val="85000"/>
                <w14:lumOff w14:val="15000"/>
              </w14:schemeClr>
            </w14:solidFill>
          </w14:textFill>
        </w:rPr>
        <w:t>Assessor’s Checklist</w:t>
      </w:r>
      <w:r>
        <w:rPr>
          <w:rFonts w:cstheme="minorHAnsi"/>
          <w:color w:val="262626" w:themeColor="text1" w:themeTint="D9"/>
          <w:sz w:val="20"/>
          <w:szCs w:val="20"/>
          <w14:textFill>
            <w14:solidFill>
              <w14:schemeClr w14:val="tx1">
                <w14:lumMod w14:val="85000"/>
                <w14:lumOff w14:val="15000"/>
              </w14:schemeClr>
            </w14:solidFill>
          </w14:textFill>
        </w:rPr>
        <w:t xml:space="preserve">, including the </w:t>
      </w:r>
      <w:r>
        <w:rPr>
          <w:rFonts w:cstheme="minorHAnsi"/>
          <w:i/>
          <w:iCs/>
          <w:color w:val="262626" w:themeColor="text1" w:themeTint="D9"/>
          <w:sz w:val="20"/>
          <w:szCs w:val="20"/>
          <w14:textFill>
            <w14:solidFill>
              <w14:schemeClr w14:val="tx1">
                <w14:lumMod w14:val="85000"/>
                <w14:lumOff w14:val="15000"/>
              </w14:schemeClr>
            </w14:solidFill>
          </w14:textFill>
        </w:rPr>
        <w:t>Assessor Declaration</w:t>
      </w:r>
      <w:r>
        <w:rPr>
          <w:rFonts w:cstheme="minorHAnsi"/>
          <w:color w:val="262626" w:themeColor="text1" w:themeTint="D9"/>
          <w:sz w:val="20"/>
          <w:szCs w:val="20"/>
          <w14:textFill>
            <w14:solidFill>
              <w14:schemeClr w14:val="tx1">
                <w14:lumMod w14:val="85000"/>
                <w14:lumOff w14:val="15000"/>
              </w14:schemeClr>
            </w14:solidFill>
          </w14:textFill>
        </w:rPr>
        <w:t xml:space="preserve"> on the last page of this form. Your signature must be handwritten.</w:t>
      </w:r>
    </w:p>
    <w:p>
      <w:pPr>
        <w:pStyle w:val="18"/>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p>
    <w:p>
      <w:pPr>
        <w:rPr>
          <w:rFonts w:ascii="Arial" w:hAnsi="Arial" w:cs="Arial" w:eastAsiaTheme="majorEastAsia"/>
          <w:b/>
          <w:bCs/>
          <w:color w:val="262626" w:themeColor="text1" w:themeTint="D9"/>
          <w14:textFill>
            <w14:solidFill>
              <w14:schemeClr w14:val="tx1">
                <w14:lumMod w14:val="85000"/>
                <w14:lumOff w14:val="15000"/>
              </w14:schemeClr>
            </w14:solidFill>
          </w14:textFill>
        </w:rPr>
      </w:pPr>
      <w:r>
        <w:rPr>
          <w:rFonts w:ascii="Arial" w:hAnsi="Arial" w:cs="Arial"/>
          <w:b/>
          <w:bCs/>
          <w:color w:val="262626" w:themeColor="text1" w:themeTint="D9"/>
          <w14:textFill>
            <w14:solidFill>
              <w14:schemeClr w14:val="tx1">
                <w14:lumMod w14:val="85000"/>
                <w14:lumOff w14:val="15000"/>
              </w14:schemeClr>
            </w14:solidFill>
          </w14:textFill>
        </w:rPr>
        <w:br w:type="page"/>
      </w: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Candidate Details</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Candidate name</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Dawei Yang</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Assessor Details</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Candidate is assessed by</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Steve Zhu</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Context of the Assessment</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Workplace/organisation</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Dawn construction</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Resources required for the assessment</w:t>
            </w:r>
          </w:p>
        </w:tc>
        <w:tc>
          <w:tcPr>
            <w:tcW w:w="6010" w:type="dxa"/>
            <w:tcBorders>
              <w:left w:val="single" w:color="A5A5A5" w:themeColor="background1" w:themeShade="A6" w:sz="4" w:space="0"/>
            </w:tcBorders>
            <w:shd w:val="clear" w:color="auto" w:fill="auto"/>
          </w:tcPr>
          <w:p>
            <w:pPr>
              <w:pStyle w:val="18"/>
              <w:numPr>
                <w:ilvl w:val="0"/>
                <w:numId w:val="2"/>
              </w:numPr>
              <w:tabs>
                <w:tab w:val="left" w:pos="180"/>
              </w:tabs>
              <w:spacing w:before="120" w:after="120" w:line="276" w:lineRule="auto"/>
              <w:ind w:right="29"/>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A construction project for a residential or commercial building up to a maximum of two storeys.</w:t>
            </w:r>
          </w:p>
          <w:p>
            <w:pPr>
              <w:pStyle w:val="18"/>
              <w:numPr>
                <w:ilvl w:val="0"/>
                <w:numId w:val="2"/>
              </w:numPr>
              <w:tabs>
                <w:tab w:val="left" w:pos="180"/>
              </w:tabs>
              <w:spacing w:before="120" w:after="120" w:line="276" w:lineRule="auto"/>
              <w:ind w:right="29"/>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Delivery team members</w:t>
            </w:r>
          </w:p>
          <w:p>
            <w:pPr>
              <w:pStyle w:val="18"/>
              <w:numPr>
                <w:ilvl w:val="0"/>
                <w:numId w:val="2"/>
              </w:numPr>
              <w:tabs>
                <w:tab w:val="left" w:pos="180"/>
              </w:tabs>
              <w:spacing w:before="120" w:after="120" w:line="276" w:lineRule="auto"/>
              <w:ind w:right="29"/>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Opportunities to supervise the on-site delivery of building materials.</w:t>
            </w:r>
          </w:p>
          <w:p>
            <w:pPr>
              <w:pStyle w:val="18"/>
              <w:numPr>
                <w:ilvl w:val="0"/>
                <w:numId w:val="2"/>
              </w:numPr>
              <w:tabs>
                <w:tab w:val="left" w:pos="180"/>
              </w:tabs>
              <w:spacing w:before="120" w:after="120" w:line="276" w:lineRule="auto"/>
              <w:ind w:right="29"/>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Policies and procedures relevant to supervising on-site delivery of building materials.</w:t>
            </w:r>
          </w:p>
        </w:tc>
      </w:tr>
    </w:tbl>
    <w:p/>
    <w:p>
      <w:pPr>
        <w:rPr>
          <w:rFonts w:ascii="Arial" w:hAnsi="Arial" w:cs="Arial" w:eastAsiaTheme="majorEastAsia"/>
          <w:b/>
          <w:bCs/>
          <w:color w:val="262626" w:themeColor="text1" w:themeTint="D9"/>
          <w14:textFill>
            <w14:solidFill>
              <w14:schemeClr w14:val="tx1">
                <w14:lumMod w14:val="85000"/>
                <w14:lumOff w14:val="15000"/>
              </w14:schemeClr>
            </w14:solidFill>
          </w14:textFill>
        </w:rPr>
      </w:pPr>
      <w:r>
        <w:rPr>
          <w:rFonts w:ascii="Arial" w:hAnsi="Arial" w:cs="Arial"/>
          <w:b/>
          <w:bCs/>
          <w:color w:val="262626" w:themeColor="text1" w:themeTint="D9"/>
          <w14:textFill>
            <w14:solidFill>
              <w14:schemeClr w14:val="tx1">
                <w14:lumMod w14:val="85000"/>
                <w14:lumOff w14:val="15000"/>
              </w14:schemeClr>
            </w14:solidFill>
          </w14:textFill>
        </w:rPr>
        <w:br w:type="page"/>
      </w:r>
    </w:p>
    <w:p>
      <w:pPr>
        <w:pStyle w:val="2"/>
        <w:spacing w:before="120" w:after="120" w:line="276" w:lineRule="auto"/>
        <w:rPr>
          <w:rFonts w:asciiTheme="minorHAnsi" w:hAnsiTheme="minorHAnsi" w:cstheme="minorHAnsi"/>
          <w:color w:val="262626" w:themeColor="text1" w:themeTint="D9"/>
          <w14:textFill>
            <w14:solidFill>
              <w14:schemeClr w14:val="tx1">
                <w14:lumMod w14:val="85000"/>
                <w14:lumOff w14:val="15000"/>
              </w14:schemeClr>
            </w14:solidFill>
          </w14:textFill>
        </w:rPr>
      </w:pPr>
      <w:r>
        <w:rPr>
          <w:rFonts w:asciiTheme="minorHAnsi" w:hAnsiTheme="minorHAnsi" w:cstheme="minorHAnsi"/>
          <w:color w:val="262626" w:themeColor="text1" w:themeTint="D9"/>
          <w14:textFill>
            <w14:solidFill>
              <w14:schemeClr w14:val="tx1">
                <w14:lumMod w14:val="85000"/>
                <w14:lumOff w14:val="15000"/>
              </w14:schemeClr>
            </w14:solidFill>
          </w14:textFill>
        </w:rPr>
        <w:t>Assessor’s Checklist</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4248"/>
        <w:gridCol w:w="1559"/>
        <w:gridCol w:w="3119"/>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jc w:val="center"/>
        </w:trPr>
        <w:tc>
          <w:tcPr>
            <w:tcW w:w="4248" w:type="dxa"/>
            <w:shd w:val="clear" w:color="auto" w:fill="F1F1F1" w:themeFill="background1" w:themeFillShade="F2"/>
          </w:tcPr>
          <w:p>
            <w:pPr>
              <w:tabs>
                <w:tab w:val="left" w:pos="180"/>
              </w:tabs>
              <w:spacing w:before="120" w:after="120" w:line="276" w:lineRule="auto"/>
              <w:ind w:left="0" w:right="29" w:firstLine="0"/>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During the supervision of the on-site delivery of building materials:</w:t>
            </w:r>
          </w:p>
        </w:tc>
        <w:tc>
          <w:tcPr>
            <w:tcW w:w="1559" w:type="dxa"/>
            <w:shd w:val="clear" w:color="auto" w:fill="F1F1F1" w:themeFill="background1" w:themeFillShade="F2"/>
          </w:tcPr>
          <w:p>
            <w:pPr>
              <w:tabs>
                <w:tab w:val="left" w:pos="180"/>
              </w:tabs>
              <w:spacing w:before="120" w:after="120" w:line="276" w:lineRule="auto"/>
              <w:ind w:left="0" w:right="29"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YES/NO</w:t>
            </w:r>
          </w:p>
        </w:tc>
        <w:tc>
          <w:tcPr>
            <w:tcW w:w="3119" w:type="dxa"/>
            <w:shd w:val="clear" w:color="auto" w:fill="F1F1F1" w:themeFill="background1" w:themeFillShade="F2"/>
          </w:tcPr>
          <w:p>
            <w:pPr>
              <w:tabs>
                <w:tab w:val="left" w:pos="180"/>
              </w:tabs>
              <w:spacing w:before="120" w:after="120" w:line="276" w:lineRule="auto"/>
              <w:ind w:left="0" w:right="29"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Assessor’s comments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251" w:hRule="atLeast"/>
          <w:jc w:val="center"/>
        </w:trPr>
        <w:tc>
          <w:tcPr>
            <w:tcW w:w="4248" w:type="dxa"/>
            <w:tcBorders>
              <w:top w:val="single" w:color="A5A5A5" w:themeColor="background1" w:themeShade="A6" w:sz="4" w:space="0"/>
              <w:left w:val="single" w:color="A5A5A5" w:themeColor="background1" w:themeShade="A6" w:sz="4" w:space="0"/>
              <w:bottom w:val="single" w:color="A5A5A5" w:themeColor="background1" w:themeShade="A6" w:sz="4" w:space="0"/>
              <w:right w:val="nil"/>
            </w:tcBorders>
          </w:tcPr>
          <w:p>
            <w:pPr>
              <w:pStyle w:val="18"/>
              <w:numPr>
                <w:ilvl w:val="0"/>
                <w:numId w:val="3"/>
              </w:numPr>
              <w:tabs>
                <w:tab w:val="left" w:pos="180"/>
              </w:tabs>
              <w:spacing w:before="120" w:after="120" w:line="276" w:lineRule="auto"/>
              <w:ind w:right="75"/>
              <w:contextualSpacing w:val="0"/>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candidate determines ahead of the time the possible challenges of the transportation of materials and components, including:</w:t>
            </w:r>
          </w:p>
          <w:p>
            <w:pPr>
              <w:tabs>
                <w:tab w:val="left" w:pos="180"/>
              </w:tabs>
              <w:spacing w:before="120" w:after="120" w:line="276" w:lineRule="auto"/>
              <w:ind w:left="360" w:right="75" w:firstLine="0"/>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b/>
                <w:bCs/>
                <w:color w:val="262626" w:themeColor="text1" w:themeTint="D9"/>
                <w:sz w:val="18"/>
                <w:szCs w:val="18"/>
                <w:u w:val="single"/>
                <w14:textFill>
                  <w14:solidFill>
                    <w14:schemeClr w14:val="tx1">
                      <w14:lumMod w14:val="85000"/>
                      <w14:lumOff w14:val="15000"/>
                    </w14:schemeClr>
                  </w14:solidFill>
                </w14:textFill>
              </w:rPr>
              <w:t>Note:</w:t>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This task can be evidenced by an email confirmation with the supplier (or simulated with your supervisor).</w:t>
            </w:r>
          </w:p>
        </w:tc>
        <w:tc>
          <w:tcPr>
            <w:tcW w:w="1559" w:type="dxa"/>
            <w:tcBorders>
              <w:top w:val="single" w:color="A5A5A5" w:themeColor="background1" w:themeShade="A6" w:sz="4" w:space="0"/>
              <w:left w:val="nil"/>
              <w:bottom w:val="single" w:color="A5A5A5" w:themeColor="background1" w:themeShade="A6" w:sz="4" w:space="0"/>
              <w:right w:val="nil"/>
            </w:tcBorders>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3119" w:type="dxa"/>
            <w:tcBorders>
              <w:top w:val="single" w:color="A5A5A5" w:themeColor="background1" w:themeShade="A6" w:sz="4" w:space="0"/>
              <w:left w:val="nil"/>
              <w:bottom w:val="single" w:color="A5A5A5" w:themeColor="background1" w:themeShade="A6" w:sz="4" w:space="0"/>
              <w:right w:val="single" w:color="A5A5A5" w:themeColor="background1" w:themeShade="A6" w:sz="4" w:space="0"/>
            </w:tcBorders>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251" w:hRule="atLeast"/>
          <w:jc w:val="center"/>
        </w:trPr>
        <w:tc>
          <w:tcPr>
            <w:tcW w:w="4248" w:type="dxa"/>
            <w:tcBorders>
              <w:top w:val="single" w:color="A5A5A5" w:themeColor="background1" w:themeShade="A6" w:sz="4" w:space="0"/>
              <w:left w:val="single" w:color="A5A5A5" w:themeColor="background1" w:themeShade="A6" w:sz="4" w:space="0"/>
              <w:bottom w:val="single" w:color="A5A5A5" w:themeColor="background1" w:themeShade="A6" w:sz="4" w:space="0"/>
              <w:right w:val="nil"/>
            </w:tcBorders>
          </w:tcPr>
          <w:p>
            <w:pPr>
              <w:pStyle w:val="18"/>
              <w:numPr>
                <w:ilvl w:val="1"/>
                <w:numId w:val="3"/>
              </w:numPr>
              <w:tabs>
                <w:tab w:val="left" w:pos="180"/>
              </w:tabs>
              <w:spacing w:before="120" w:after="120" w:line="276" w:lineRule="auto"/>
              <w:ind w:right="75"/>
              <w:contextualSpacing w:val="0"/>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Limitations of the delivery method used, e.g. limits on the quantity that can be delivered at any one time, etc.</w:t>
            </w:r>
          </w:p>
        </w:tc>
        <w:tc>
          <w:tcPr>
            <w:tcW w:w="1559" w:type="dxa"/>
            <w:tcBorders>
              <w:top w:val="single" w:color="A5A5A5" w:themeColor="background1" w:themeShade="A6" w:sz="4" w:space="0"/>
              <w:left w:val="nil"/>
              <w:bottom w:val="single" w:color="A5A5A5" w:themeColor="background1" w:themeShade="A6" w:sz="4" w:space="0"/>
              <w:right w:val="nil"/>
            </w:tcBorders>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3119" w:type="dxa"/>
            <w:tcBorders>
              <w:top w:val="single" w:color="A5A5A5" w:themeColor="background1" w:themeShade="A6" w:sz="4" w:space="0"/>
              <w:left w:val="nil"/>
              <w:bottom w:val="single" w:color="A5A5A5" w:themeColor="background1" w:themeShade="A6" w:sz="4" w:space="0"/>
              <w:right w:val="single" w:color="A5A5A5" w:themeColor="background1" w:themeShade="A6" w:sz="4" w:space="0"/>
            </w:tcBorders>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251" w:hRule="atLeast"/>
          <w:jc w:val="center"/>
        </w:trPr>
        <w:tc>
          <w:tcPr>
            <w:tcW w:w="4248" w:type="dxa"/>
            <w:tcBorders>
              <w:top w:val="single" w:color="A5A5A5" w:themeColor="background1" w:themeShade="A6" w:sz="4" w:space="0"/>
              <w:left w:val="single" w:color="A5A5A5" w:themeColor="background1" w:themeShade="A6" w:sz="4" w:space="0"/>
              <w:bottom w:val="single" w:color="A5A5A5" w:themeColor="background1" w:themeShade="A6" w:sz="4" w:space="0"/>
              <w:right w:val="nil"/>
            </w:tcBorders>
          </w:tcPr>
          <w:p>
            <w:pPr>
              <w:pStyle w:val="18"/>
              <w:numPr>
                <w:ilvl w:val="1"/>
                <w:numId w:val="3"/>
              </w:numPr>
              <w:tabs>
                <w:tab w:val="left" w:pos="180"/>
              </w:tabs>
              <w:spacing w:before="120" w:after="120" w:line="276" w:lineRule="auto"/>
              <w:ind w:right="75"/>
              <w:contextualSpacing w:val="0"/>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Effects of transportation on the materials and components, e.g. potential damage, potential safety hazards, etc..</w:t>
            </w:r>
          </w:p>
        </w:tc>
        <w:tc>
          <w:tcPr>
            <w:tcW w:w="1559" w:type="dxa"/>
            <w:tcBorders>
              <w:top w:val="single" w:color="A5A5A5" w:themeColor="background1" w:themeShade="A6" w:sz="4" w:space="0"/>
              <w:left w:val="nil"/>
              <w:bottom w:val="single" w:color="A5A5A5" w:themeColor="background1" w:themeShade="A6" w:sz="4" w:space="0"/>
              <w:right w:val="nil"/>
            </w:tcBorders>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3119" w:type="dxa"/>
            <w:tcBorders>
              <w:top w:val="single" w:color="A5A5A5" w:themeColor="background1" w:themeShade="A6" w:sz="4" w:space="0"/>
              <w:left w:val="nil"/>
              <w:bottom w:val="single" w:color="A5A5A5" w:themeColor="background1" w:themeShade="A6" w:sz="4" w:space="0"/>
              <w:right w:val="single" w:color="A5A5A5" w:themeColor="background1" w:themeShade="A6" w:sz="4" w:space="0"/>
            </w:tcBorders>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251" w:hRule="atLeast"/>
          <w:jc w:val="center"/>
        </w:trPr>
        <w:tc>
          <w:tcPr>
            <w:tcW w:w="4248" w:type="dxa"/>
            <w:tcBorders>
              <w:top w:val="single" w:color="A5A5A5" w:themeColor="background1" w:themeShade="A6" w:sz="4" w:space="0"/>
              <w:left w:val="single" w:color="A5A5A5" w:themeColor="background1" w:themeShade="A6" w:sz="4" w:space="0"/>
              <w:bottom w:val="single" w:color="A5A5A5" w:themeColor="background1" w:themeShade="A6" w:sz="4" w:space="0"/>
              <w:right w:val="nil"/>
            </w:tcBorders>
          </w:tcPr>
          <w:p>
            <w:pPr>
              <w:pStyle w:val="18"/>
              <w:numPr>
                <w:ilvl w:val="0"/>
                <w:numId w:val="3"/>
              </w:numPr>
              <w:tabs>
                <w:tab w:val="left" w:pos="180"/>
              </w:tabs>
              <w:spacing w:before="120" w:after="120" w:line="276" w:lineRule="auto"/>
              <w:ind w:right="75"/>
              <w:contextualSpacing w:val="0"/>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candidate takes action to limit potentially damaging circumstances, e.g. they ensure that delivery vehicles can safely and easily enter and exit the site to ensure smooth deliveries, they coordinate with the supplier to ensure that precautions are taken to ensure the materials are safely delivered, etc.</w:t>
            </w:r>
          </w:p>
          <w:p>
            <w:pPr>
              <w:tabs>
                <w:tab w:val="left" w:pos="180"/>
              </w:tabs>
              <w:spacing w:before="120" w:after="120" w:line="276" w:lineRule="auto"/>
              <w:ind w:left="360" w:right="75" w:firstLine="0"/>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b/>
                <w:bCs/>
                <w:color w:val="262626" w:themeColor="text1" w:themeTint="D9"/>
                <w:sz w:val="18"/>
                <w:szCs w:val="18"/>
                <w:u w:val="single"/>
                <w14:textFill>
                  <w14:solidFill>
                    <w14:schemeClr w14:val="tx1">
                      <w14:lumMod w14:val="85000"/>
                      <w14:lumOff w14:val="15000"/>
                    </w14:schemeClr>
                  </w14:solidFill>
                </w14:textFill>
              </w:rPr>
              <w:t>Note:</w:t>
            </w:r>
            <w:r>
              <w:rPr>
                <w:rFonts w:ascii="Arial" w:hAnsi="Arial" w:cs="Arial"/>
                <w:color w:val="262626" w:themeColor="text1" w:themeTint="D9"/>
                <w:sz w:val="18"/>
                <w:szCs w:val="18"/>
                <w14:textFill>
                  <w14:solidFill>
                    <w14:schemeClr w14:val="tx1">
                      <w14:lumMod w14:val="85000"/>
                      <w14:lumOff w14:val="15000"/>
                    </w14:schemeClr>
                  </w14:solidFill>
                </w14:textFill>
              </w:rPr>
              <w:t xml:space="preserve"> This task can be evidenced by an email confirmation with the supplier (or simulated with your supervisor).</w:t>
            </w:r>
          </w:p>
        </w:tc>
        <w:tc>
          <w:tcPr>
            <w:tcW w:w="1559" w:type="dxa"/>
            <w:tcBorders>
              <w:top w:val="single" w:color="A5A5A5" w:themeColor="background1" w:themeShade="A6" w:sz="4" w:space="0"/>
              <w:left w:val="nil"/>
              <w:bottom w:val="single" w:color="A5A5A5" w:themeColor="background1" w:themeShade="A6" w:sz="4" w:space="0"/>
              <w:right w:val="nil"/>
            </w:tcBorders>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3119" w:type="dxa"/>
            <w:tcBorders>
              <w:top w:val="single" w:color="A5A5A5" w:themeColor="background1" w:themeShade="A6" w:sz="4" w:space="0"/>
              <w:left w:val="nil"/>
              <w:bottom w:val="single" w:color="A5A5A5" w:themeColor="background1" w:themeShade="A6" w:sz="4" w:space="0"/>
              <w:right w:val="single" w:color="A5A5A5" w:themeColor="background1" w:themeShade="A6" w:sz="4" w:space="0"/>
            </w:tcBorders>
          </w:tcPr>
          <w:p>
            <w:pPr>
              <w:spacing w:before="120" w:after="120" w:line="276" w:lineRule="auto"/>
              <w:ind w:left="0" w:right="29" w:firstLine="0"/>
              <w:jc w:val="both"/>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251" w:hRule="atLeast"/>
          <w:jc w:val="center"/>
        </w:trPr>
        <w:tc>
          <w:tcPr>
            <w:tcW w:w="4248" w:type="dxa"/>
            <w:tcBorders>
              <w:top w:val="single" w:color="A5A5A5" w:themeColor="background1" w:themeShade="A6" w:sz="4" w:space="0"/>
              <w:left w:val="single" w:color="A5A5A5" w:themeColor="background1" w:themeShade="A6" w:sz="4" w:space="0"/>
              <w:bottom w:val="single" w:color="A5A5A5" w:themeColor="background1" w:themeShade="A6" w:sz="4" w:space="0"/>
              <w:right w:val="nil"/>
            </w:tcBorders>
          </w:tcPr>
          <w:p>
            <w:pPr>
              <w:pStyle w:val="18"/>
              <w:numPr>
                <w:ilvl w:val="0"/>
                <w:numId w:val="3"/>
              </w:numPr>
              <w:tabs>
                <w:tab w:val="left" w:pos="180"/>
              </w:tabs>
              <w:spacing w:before="120" w:after="120" w:line="276" w:lineRule="auto"/>
              <w:ind w:right="75"/>
              <w:contextualSpacing w:val="0"/>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candidate checks the delivered materials according to:</w:t>
            </w:r>
          </w:p>
        </w:tc>
        <w:tc>
          <w:tcPr>
            <w:tcW w:w="1559" w:type="dxa"/>
            <w:tcBorders>
              <w:top w:val="single" w:color="A5A5A5" w:themeColor="background1" w:themeShade="A6" w:sz="4" w:space="0"/>
              <w:left w:val="nil"/>
              <w:bottom w:val="single" w:color="A5A5A5" w:themeColor="background1" w:themeShade="A6" w:sz="4" w:space="0"/>
              <w:right w:val="nil"/>
            </w:tcBorders>
          </w:tcPr>
          <w:p>
            <w:pPr>
              <w:tabs>
                <w:tab w:val="left" w:pos="180"/>
              </w:tabs>
              <w:spacing w:before="120" w:after="120" w:line="276" w:lineRule="auto"/>
              <w:ind w:left="792" w:right="29" w:hanging="360"/>
              <w:jc w:val="center"/>
              <w:rPr>
                <w:rFonts w:ascii="Arial" w:hAnsi="Arial" w:cs="Arial"/>
                <w:color w:val="262626" w:themeColor="text1" w:themeTint="D9"/>
                <w:sz w:val="16"/>
                <w:szCs w:val="16"/>
                <w14:textFill>
                  <w14:solidFill>
                    <w14:schemeClr w14:val="tx1">
                      <w14:lumMod w14:val="85000"/>
                      <w14:lumOff w14:val="15000"/>
                    </w14:schemeClr>
                  </w14:solidFill>
                </w14:textFill>
              </w:rPr>
            </w:pPr>
          </w:p>
        </w:tc>
        <w:tc>
          <w:tcPr>
            <w:tcW w:w="3119" w:type="dxa"/>
            <w:tcBorders>
              <w:top w:val="single" w:color="A5A5A5" w:themeColor="background1" w:themeShade="A6" w:sz="4" w:space="0"/>
              <w:left w:val="nil"/>
              <w:bottom w:val="single" w:color="A5A5A5" w:themeColor="background1" w:themeShade="A6" w:sz="4" w:space="0"/>
              <w:right w:val="single" w:color="A5A5A5" w:themeColor="background1" w:themeShade="A6" w:sz="4" w:space="0"/>
            </w:tcBorders>
          </w:tcPr>
          <w:p>
            <w:pPr>
              <w:spacing w:before="120" w:after="120" w:line="276" w:lineRule="auto"/>
              <w:ind w:left="792" w:right="29" w:hanging="360"/>
              <w:jc w:val="both"/>
              <w:rPr>
                <w:rFonts w:ascii="Arial" w:hAnsi="Arial" w:cs="Arial"/>
                <w:color w:val="262626" w:themeColor="text1" w:themeTint="D9"/>
                <w:sz w:val="18"/>
                <w:szCs w:val="18"/>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251" w:hRule="atLeast"/>
          <w:jc w:val="center"/>
        </w:trPr>
        <w:tc>
          <w:tcPr>
            <w:tcW w:w="4248" w:type="dxa"/>
            <w:tcBorders>
              <w:top w:val="single" w:color="A5A5A5" w:themeColor="background1" w:themeShade="A6" w:sz="4" w:space="0"/>
              <w:left w:val="single" w:color="A5A5A5" w:themeColor="background1" w:themeShade="A6" w:sz="4" w:space="0"/>
              <w:bottom w:val="single" w:color="A5A5A5" w:themeColor="background1" w:themeShade="A6" w:sz="4" w:space="0"/>
              <w:right w:val="nil"/>
            </w:tcBorders>
          </w:tcPr>
          <w:p>
            <w:pPr>
              <w:pStyle w:val="18"/>
              <w:numPr>
                <w:ilvl w:val="1"/>
                <w:numId w:val="3"/>
              </w:numPr>
              <w:tabs>
                <w:tab w:val="left" w:pos="180"/>
              </w:tabs>
              <w:spacing w:before="120" w:after="120" w:line="276" w:lineRule="auto"/>
              <w:ind w:right="75"/>
              <w:contextualSpacing w:val="0"/>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Compliance with manufacturer specifications</w:t>
            </w:r>
          </w:p>
        </w:tc>
        <w:tc>
          <w:tcPr>
            <w:tcW w:w="1559" w:type="dxa"/>
            <w:tcBorders>
              <w:top w:val="single" w:color="A5A5A5" w:themeColor="background1" w:themeShade="A6" w:sz="4" w:space="0"/>
              <w:left w:val="nil"/>
              <w:bottom w:val="single" w:color="A5A5A5" w:themeColor="background1" w:themeShade="A6" w:sz="4" w:space="0"/>
              <w:right w:val="nil"/>
            </w:tcBorders>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3119" w:type="dxa"/>
            <w:tcBorders>
              <w:top w:val="single" w:color="A5A5A5" w:themeColor="background1" w:themeShade="A6" w:sz="4" w:space="0"/>
              <w:left w:val="nil"/>
              <w:bottom w:val="single" w:color="A5A5A5" w:themeColor="background1" w:themeShade="A6" w:sz="4" w:space="0"/>
              <w:right w:val="single" w:color="A5A5A5" w:themeColor="background1" w:themeShade="A6" w:sz="4" w:space="0"/>
            </w:tcBorders>
          </w:tcPr>
          <w:p>
            <w:pPr>
              <w:spacing w:before="120" w:after="120" w:line="276" w:lineRule="auto"/>
              <w:ind w:left="0" w:right="29" w:firstLine="0"/>
              <w:jc w:val="both"/>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6"/>
                <w:szCs w:val="16"/>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6"/>
                <w:szCs w:val="16"/>
                <w14:textFill>
                  <w14:solidFill>
                    <w14:schemeClr w14:val="tx1">
                      <w14:lumMod w14:val="85000"/>
                      <w14:lumOff w14:val="15000"/>
                    </w14:schemeClr>
                  </w14:solidFill>
                </w14:textFill>
              </w:rPr>
              <w:fldChar w:fldCharType="separate"/>
            </w:r>
            <w:r>
              <w:rPr>
                <w:rFonts w:ascii="Arial" w:hAnsi="Arial" w:cs="Arial"/>
                <w:color w:val="262626" w:themeColor="text1" w:themeTint="D9"/>
                <w:sz w:val="16"/>
                <w:szCs w:val="16"/>
                <w14:textFill>
                  <w14:solidFill>
                    <w14:schemeClr w14:val="tx1">
                      <w14:lumMod w14:val="85000"/>
                      <w14:lumOff w14:val="15000"/>
                    </w14:schemeClr>
                  </w14:solidFill>
                </w14:textFill>
              </w:rPr>
              <w:t>     </w:t>
            </w:r>
            <w:r>
              <w:rPr>
                <w:rFonts w:ascii="Arial" w:hAnsi="Arial" w:cs="Arial"/>
                <w:color w:val="262626" w:themeColor="text1" w:themeTint="D9"/>
                <w:sz w:val="16"/>
                <w:szCs w:val="16"/>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251" w:hRule="atLeast"/>
          <w:jc w:val="center"/>
        </w:trPr>
        <w:tc>
          <w:tcPr>
            <w:tcW w:w="4248" w:type="dxa"/>
            <w:tcBorders>
              <w:top w:val="single" w:color="A5A5A5" w:themeColor="background1" w:themeShade="A6" w:sz="4" w:space="0"/>
              <w:left w:val="single" w:color="A5A5A5" w:themeColor="background1" w:themeShade="A6" w:sz="4" w:space="0"/>
              <w:bottom w:val="single" w:color="A5A5A5" w:themeColor="background1" w:themeShade="A6" w:sz="4" w:space="0"/>
              <w:right w:val="nil"/>
            </w:tcBorders>
          </w:tcPr>
          <w:p>
            <w:pPr>
              <w:pStyle w:val="18"/>
              <w:numPr>
                <w:ilvl w:val="1"/>
                <w:numId w:val="3"/>
              </w:numPr>
              <w:tabs>
                <w:tab w:val="left" w:pos="180"/>
              </w:tabs>
              <w:spacing w:before="120" w:after="120" w:line="276" w:lineRule="auto"/>
              <w:ind w:right="75"/>
              <w:contextualSpacing w:val="0"/>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Damages sustained, if any</w:t>
            </w:r>
          </w:p>
        </w:tc>
        <w:tc>
          <w:tcPr>
            <w:tcW w:w="1559" w:type="dxa"/>
            <w:tcBorders>
              <w:top w:val="single" w:color="A5A5A5" w:themeColor="background1" w:themeShade="A6" w:sz="4" w:space="0"/>
              <w:left w:val="nil"/>
              <w:bottom w:val="single" w:color="A5A5A5" w:themeColor="background1" w:themeShade="A6" w:sz="4" w:space="0"/>
              <w:right w:val="nil"/>
            </w:tcBorders>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3119" w:type="dxa"/>
            <w:tcBorders>
              <w:top w:val="single" w:color="A5A5A5" w:themeColor="background1" w:themeShade="A6" w:sz="4" w:space="0"/>
              <w:left w:val="nil"/>
              <w:bottom w:val="single" w:color="A5A5A5" w:themeColor="background1" w:themeShade="A6" w:sz="4" w:space="0"/>
              <w:right w:val="single" w:color="A5A5A5" w:themeColor="background1" w:themeShade="A6" w:sz="4" w:space="0"/>
            </w:tcBorders>
          </w:tcPr>
          <w:p>
            <w:pPr>
              <w:spacing w:before="120" w:after="120" w:line="276" w:lineRule="auto"/>
              <w:ind w:left="0" w:right="29" w:firstLine="0"/>
              <w:jc w:val="both"/>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6"/>
                <w:szCs w:val="16"/>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6"/>
                <w:szCs w:val="16"/>
                <w14:textFill>
                  <w14:solidFill>
                    <w14:schemeClr w14:val="tx1">
                      <w14:lumMod w14:val="85000"/>
                      <w14:lumOff w14:val="15000"/>
                    </w14:schemeClr>
                  </w14:solidFill>
                </w14:textFill>
              </w:rPr>
              <w:fldChar w:fldCharType="separate"/>
            </w:r>
            <w:r>
              <w:rPr>
                <w:rFonts w:ascii="Arial" w:hAnsi="Arial" w:cs="Arial"/>
                <w:color w:val="262626" w:themeColor="text1" w:themeTint="D9"/>
                <w:sz w:val="16"/>
                <w:szCs w:val="16"/>
                <w14:textFill>
                  <w14:solidFill>
                    <w14:schemeClr w14:val="tx1">
                      <w14:lumMod w14:val="85000"/>
                      <w14:lumOff w14:val="15000"/>
                    </w14:schemeClr>
                  </w14:solidFill>
                </w14:textFill>
              </w:rPr>
              <w:t>     </w:t>
            </w:r>
            <w:r>
              <w:rPr>
                <w:rFonts w:ascii="Arial" w:hAnsi="Arial" w:cs="Arial"/>
                <w:color w:val="262626" w:themeColor="text1" w:themeTint="D9"/>
                <w:sz w:val="16"/>
                <w:szCs w:val="16"/>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251" w:hRule="atLeast"/>
          <w:jc w:val="center"/>
        </w:trPr>
        <w:tc>
          <w:tcPr>
            <w:tcW w:w="4248" w:type="dxa"/>
            <w:tcBorders>
              <w:top w:val="single" w:color="A5A5A5" w:themeColor="background1" w:themeShade="A6" w:sz="4" w:space="0"/>
              <w:left w:val="single" w:color="A5A5A5" w:themeColor="background1" w:themeShade="A6" w:sz="4" w:space="0"/>
              <w:bottom w:val="single" w:color="A5A5A5" w:themeColor="background1" w:themeShade="A6" w:sz="4" w:space="0"/>
              <w:right w:val="nil"/>
            </w:tcBorders>
          </w:tcPr>
          <w:p>
            <w:pPr>
              <w:pStyle w:val="18"/>
              <w:numPr>
                <w:ilvl w:val="1"/>
                <w:numId w:val="3"/>
              </w:numPr>
              <w:tabs>
                <w:tab w:val="left" w:pos="180"/>
              </w:tabs>
              <w:spacing w:before="120" w:after="120" w:line="276" w:lineRule="auto"/>
              <w:ind w:right="75"/>
              <w:contextualSpacing w:val="0"/>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Cross-reference with the delivery order/invoice</w:t>
            </w:r>
          </w:p>
        </w:tc>
        <w:tc>
          <w:tcPr>
            <w:tcW w:w="1559" w:type="dxa"/>
            <w:tcBorders>
              <w:top w:val="single" w:color="A5A5A5" w:themeColor="background1" w:themeShade="A6" w:sz="4" w:space="0"/>
              <w:left w:val="nil"/>
              <w:bottom w:val="single" w:color="A5A5A5" w:themeColor="background1" w:themeShade="A6" w:sz="4" w:space="0"/>
              <w:right w:val="nil"/>
            </w:tcBorders>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3119" w:type="dxa"/>
            <w:tcBorders>
              <w:top w:val="single" w:color="A5A5A5" w:themeColor="background1" w:themeShade="A6" w:sz="4" w:space="0"/>
              <w:left w:val="nil"/>
              <w:bottom w:val="single" w:color="A5A5A5" w:themeColor="background1" w:themeShade="A6" w:sz="4" w:space="0"/>
              <w:right w:val="single" w:color="A5A5A5" w:themeColor="background1" w:themeShade="A6" w:sz="4" w:space="0"/>
            </w:tcBorders>
          </w:tcPr>
          <w:p>
            <w:pPr>
              <w:spacing w:before="120" w:after="120" w:line="276" w:lineRule="auto"/>
              <w:ind w:left="0" w:right="29" w:firstLine="0"/>
              <w:jc w:val="both"/>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6"/>
                <w:szCs w:val="16"/>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6"/>
                <w:szCs w:val="16"/>
                <w14:textFill>
                  <w14:solidFill>
                    <w14:schemeClr w14:val="tx1">
                      <w14:lumMod w14:val="85000"/>
                      <w14:lumOff w14:val="15000"/>
                    </w14:schemeClr>
                  </w14:solidFill>
                </w14:textFill>
              </w:rPr>
              <w:fldChar w:fldCharType="separate"/>
            </w:r>
            <w:r>
              <w:rPr>
                <w:rFonts w:ascii="Arial" w:hAnsi="Arial" w:cs="Arial"/>
                <w:color w:val="262626" w:themeColor="text1" w:themeTint="D9"/>
                <w:sz w:val="16"/>
                <w:szCs w:val="16"/>
                <w14:textFill>
                  <w14:solidFill>
                    <w14:schemeClr w14:val="tx1">
                      <w14:lumMod w14:val="85000"/>
                      <w14:lumOff w14:val="15000"/>
                    </w14:schemeClr>
                  </w14:solidFill>
                </w14:textFill>
              </w:rPr>
              <w:t>     </w:t>
            </w:r>
            <w:r>
              <w:rPr>
                <w:rFonts w:ascii="Arial" w:hAnsi="Arial" w:cs="Arial"/>
                <w:color w:val="262626" w:themeColor="text1" w:themeTint="D9"/>
                <w:sz w:val="16"/>
                <w:szCs w:val="16"/>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251" w:hRule="atLeast"/>
          <w:jc w:val="center"/>
        </w:trPr>
        <w:tc>
          <w:tcPr>
            <w:tcW w:w="4248" w:type="dxa"/>
            <w:tcBorders>
              <w:top w:val="single" w:color="A5A5A5" w:themeColor="background1" w:themeShade="A6" w:sz="4" w:space="0"/>
              <w:left w:val="single" w:color="A5A5A5" w:themeColor="background1" w:themeShade="A6" w:sz="4" w:space="0"/>
              <w:bottom w:val="single" w:color="A5A5A5" w:themeColor="background1" w:themeShade="A6" w:sz="4" w:space="0"/>
              <w:right w:val="nil"/>
            </w:tcBorders>
          </w:tcPr>
          <w:p>
            <w:pPr>
              <w:pStyle w:val="18"/>
              <w:numPr>
                <w:ilvl w:val="0"/>
                <w:numId w:val="3"/>
              </w:numPr>
              <w:tabs>
                <w:tab w:val="left" w:pos="180"/>
              </w:tabs>
              <w:spacing w:before="120" w:after="120" w:line="276" w:lineRule="auto"/>
              <w:ind w:right="75"/>
              <w:contextualSpacing w:val="0"/>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candidate allocates storage space on-site for the materials to be delivered.</w:t>
            </w:r>
          </w:p>
        </w:tc>
        <w:tc>
          <w:tcPr>
            <w:tcW w:w="1559" w:type="dxa"/>
            <w:tcBorders>
              <w:top w:val="single" w:color="A5A5A5" w:themeColor="background1" w:themeShade="A6" w:sz="4" w:space="0"/>
              <w:left w:val="nil"/>
              <w:bottom w:val="single" w:color="A5A5A5" w:themeColor="background1" w:themeShade="A6" w:sz="4" w:space="0"/>
              <w:right w:val="nil"/>
            </w:tcBorders>
          </w:tcPr>
          <w:p>
            <w:pPr>
              <w:tabs>
                <w:tab w:val="left" w:pos="180"/>
              </w:tabs>
              <w:spacing w:before="120" w:after="120" w:line="276" w:lineRule="auto"/>
              <w:ind w:left="792" w:right="29" w:hanging="360"/>
              <w:jc w:val="center"/>
              <w:rPr>
                <w:rFonts w:ascii="Arial" w:hAnsi="Arial" w:cs="Arial"/>
                <w:color w:val="262626" w:themeColor="text1" w:themeTint="D9"/>
                <w:sz w:val="16"/>
                <w:szCs w:val="16"/>
                <w14:textFill>
                  <w14:solidFill>
                    <w14:schemeClr w14:val="tx1">
                      <w14:lumMod w14:val="85000"/>
                      <w14:lumOff w14:val="15000"/>
                    </w14:schemeClr>
                  </w14:solidFill>
                </w14:textFill>
              </w:rPr>
            </w:pPr>
          </w:p>
        </w:tc>
        <w:tc>
          <w:tcPr>
            <w:tcW w:w="3119" w:type="dxa"/>
            <w:tcBorders>
              <w:top w:val="single" w:color="A5A5A5" w:themeColor="background1" w:themeShade="A6" w:sz="4" w:space="0"/>
              <w:left w:val="nil"/>
              <w:bottom w:val="single" w:color="A5A5A5" w:themeColor="background1" w:themeShade="A6" w:sz="4" w:space="0"/>
              <w:right w:val="single" w:color="A5A5A5" w:themeColor="background1" w:themeShade="A6" w:sz="4" w:space="0"/>
            </w:tcBorders>
          </w:tcPr>
          <w:p>
            <w:pPr>
              <w:spacing w:before="120" w:after="120" w:line="276" w:lineRule="auto"/>
              <w:ind w:left="792" w:right="29" w:hanging="360"/>
              <w:jc w:val="both"/>
              <w:rPr>
                <w:rFonts w:ascii="Arial" w:hAnsi="Arial" w:cs="Arial"/>
                <w:color w:val="262626" w:themeColor="text1" w:themeTint="D9"/>
                <w:sz w:val="18"/>
                <w:szCs w:val="18"/>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251" w:hRule="atLeast"/>
          <w:jc w:val="center"/>
        </w:trPr>
        <w:tc>
          <w:tcPr>
            <w:tcW w:w="4248" w:type="dxa"/>
            <w:tcBorders>
              <w:top w:val="single" w:color="A5A5A5" w:themeColor="background1" w:themeShade="A6" w:sz="4" w:space="0"/>
              <w:left w:val="single" w:color="A5A5A5" w:themeColor="background1" w:themeShade="A6" w:sz="4" w:space="0"/>
              <w:bottom w:val="single" w:color="A5A5A5" w:themeColor="background1" w:themeShade="A6" w:sz="4" w:space="0"/>
              <w:right w:val="nil"/>
            </w:tcBorders>
          </w:tcPr>
          <w:p>
            <w:pPr>
              <w:pStyle w:val="18"/>
              <w:numPr>
                <w:ilvl w:val="1"/>
                <w:numId w:val="3"/>
              </w:numPr>
              <w:tabs>
                <w:tab w:val="left" w:pos="180"/>
              </w:tabs>
              <w:spacing w:before="120" w:after="120" w:line="276" w:lineRule="auto"/>
              <w:ind w:right="75"/>
              <w:contextualSpacing w:val="0"/>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candidate ensures the security of the materials according to manufacturer specifications, e.g. installing CCTV and other similar systems, etc.</w:t>
            </w:r>
          </w:p>
        </w:tc>
        <w:tc>
          <w:tcPr>
            <w:tcW w:w="1559" w:type="dxa"/>
            <w:tcBorders>
              <w:top w:val="single" w:color="A5A5A5" w:themeColor="background1" w:themeShade="A6" w:sz="4" w:space="0"/>
              <w:left w:val="nil"/>
              <w:bottom w:val="single" w:color="A5A5A5" w:themeColor="background1" w:themeShade="A6" w:sz="4" w:space="0"/>
              <w:right w:val="nil"/>
            </w:tcBorders>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3119" w:type="dxa"/>
            <w:tcBorders>
              <w:top w:val="single" w:color="A5A5A5" w:themeColor="background1" w:themeShade="A6" w:sz="4" w:space="0"/>
              <w:left w:val="nil"/>
              <w:bottom w:val="single" w:color="A5A5A5" w:themeColor="background1" w:themeShade="A6" w:sz="4" w:space="0"/>
              <w:right w:val="single" w:color="A5A5A5" w:themeColor="background1" w:themeShade="A6" w:sz="4" w:space="0"/>
            </w:tcBorders>
          </w:tcPr>
          <w:p>
            <w:pPr>
              <w:spacing w:before="120" w:after="120" w:line="276" w:lineRule="auto"/>
              <w:ind w:left="0" w:right="29" w:firstLine="0"/>
              <w:jc w:val="both"/>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6"/>
                <w:szCs w:val="16"/>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6"/>
                <w:szCs w:val="16"/>
                <w14:textFill>
                  <w14:solidFill>
                    <w14:schemeClr w14:val="tx1">
                      <w14:lumMod w14:val="85000"/>
                      <w14:lumOff w14:val="15000"/>
                    </w14:schemeClr>
                  </w14:solidFill>
                </w14:textFill>
              </w:rPr>
              <w:fldChar w:fldCharType="separate"/>
            </w:r>
            <w:r>
              <w:rPr>
                <w:rFonts w:ascii="Arial" w:hAnsi="Arial" w:cs="Arial"/>
                <w:color w:val="262626" w:themeColor="text1" w:themeTint="D9"/>
                <w:sz w:val="16"/>
                <w:szCs w:val="16"/>
                <w14:textFill>
                  <w14:solidFill>
                    <w14:schemeClr w14:val="tx1">
                      <w14:lumMod w14:val="85000"/>
                      <w14:lumOff w14:val="15000"/>
                    </w14:schemeClr>
                  </w14:solidFill>
                </w14:textFill>
              </w:rPr>
              <w:t>     </w:t>
            </w:r>
            <w:r>
              <w:rPr>
                <w:rFonts w:ascii="Arial" w:hAnsi="Arial" w:cs="Arial"/>
                <w:color w:val="262626" w:themeColor="text1" w:themeTint="D9"/>
                <w:sz w:val="16"/>
                <w:szCs w:val="16"/>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251" w:hRule="atLeast"/>
          <w:jc w:val="center"/>
        </w:trPr>
        <w:tc>
          <w:tcPr>
            <w:tcW w:w="4248" w:type="dxa"/>
            <w:tcBorders>
              <w:top w:val="single" w:color="A5A5A5" w:themeColor="background1" w:themeShade="A6" w:sz="4" w:space="0"/>
              <w:left w:val="single" w:color="A5A5A5" w:themeColor="background1" w:themeShade="A6" w:sz="4" w:space="0"/>
              <w:bottom w:val="single" w:color="A5A5A5" w:themeColor="background1" w:themeShade="A6" w:sz="4" w:space="0"/>
              <w:right w:val="nil"/>
            </w:tcBorders>
          </w:tcPr>
          <w:p>
            <w:pPr>
              <w:pStyle w:val="18"/>
              <w:numPr>
                <w:ilvl w:val="1"/>
                <w:numId w:val="3"/>
              </w:numPr>
              <w:tabs>
                <w:tab w:val="left" w:pos="180"/>
              </w:tabs>
              <w:spacing w:before="120" w:after="120" w:line="276" w:lineRule="auto"/>
              <w:ind w:right="75"/>
              <w:contextualSpacing w:val="0"/>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candidate ensures the protection of materials according to manufacturer specifications, e.g. storing the materials under the correct humidity and temperature, etc.</w:t>
            </w:r>
          </w:p>
        </w:tc>
        <w:tc>
          <w:tcPr>
            <w:tcW w:w="1559" w:type="dxa"/>
            <w:tcBorders>
              <w:top w:val="single" w:color="A5A5A5" w:themeColor="background1" w:themeShade="A6" w:sz="4" w:space="0"/>
              <w:left w:val="nil"/>
              <w:bottom w:val="single" w:color="A5A5A5" w:themeColor="background1" w:themeShade="A6" w:sz="4" w:space="0"/>
              <w:right w:val="nil"/>
            </w:tcBorders>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3119" w:type="dxa"/>
            <w:tcBorders>
              <w:top w:val="single" w:color="A5A5A5" w:themeColor="background1" w:themeShade="A6" w:sz="4" w:space="0"/>
              <w:left w:val="nil"/>
              <w:bottom w:val="single" w:color="A5A5A5" w:themeColor="background1" w:themeShade="A6" w:sz="4" w:space="0"/>
              <w:right w:val="single" w:color="A5A5A5" w:themeColor="background1" w:themeShade="A6" w:sz="4" w:space="0"/>
            </w:tcBorders>
          </w:tcPr>
          <w:p>
            <w:pPr>
              <w:spacing w:before="120" w:after="120" w:line="276" w:lineRule="auto"/>
              <w:ind w:left="0" w:right="29" w:firstLine="0"/>
              <w:jc w:val="both"/>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6"/>
                <w:szCs w:val="16"/>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6"/>
                <w:szCs w:val="16"/>
                <w14:textFill>
                  <w14:solidFill>
                    <w14:schemeClr w14:val="tx1">
                      <w14:lumMod w14:val="85000"/>
                      <w14:lumOff w14:val="15000"/>
                    </w14:schemeClr>
                  </w14:solidFill>
                </w14:textFill>
              </w:rPr>
              <w:fldChar w:fldCharType="separate"/>
            </w:r>
            <w:r>
              <w:rPr>
                <w:rFonts w:ascii="Arial" w:hAnsi="Arial" w:cs="Arial"/>
                <w:color w:val="262626" w:themeColor="text1" w:themeTint="D9"/>
                <w:sz w:val="16"/>
                <w:szCs w:val="16"/>
                <w14:textFill>
                  <w14:solidFill>
                    <w14:schemeClr w14:val="tx1">
                      <w14:lumMod w14:val="85000"/>
                      <w14:lumOff w14:val="15000"/>
                    </w14:schemeClr>
                  </w14:solidFill>
                </w14:textFill>
              </w:rPr>
              <w:t>     </w:t>
            </w:r>
            <w:r>
              <w:rPr>
                <w:rFonts w:ascii="Arial" w:hAnsi="Arial" w:cs="Arial"/>
                <w:color w:val="262626" w:themeColor="text1" w:themeTint="D9"/>
                <w:sz w:val="16"/>
                <w:szCs w:val="16"/>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251" w:hRule="atLeast"/>
          <w:jc w:val="center"/>
        </w:trPr>
        <w:tc>
          <w:tcPr>
            <w:tcW w:w="4248" w:type="dxa"/>
            <w:tcBorders>
              <w:top w:val="single" w:color="A5A5A5" w:themeColor="background1" w:themeShade="A6" w:sz="4" w:space="0"/>
              <w:left w:val="single" w:color="A5A5A5" w:themeColor="background1" w:themeShade="A6" w:sz="4" w:space="0"/>
              <w:bottom w:val="single" w:color="A5A5A5" w:themeColor="background1" w:themeShade="A6" w:sz="4" w:space="0"/>
              <w:right w:val="nil"/>
            </w:tcBorders>
          </w:tcPr>
          <w:p>
            <w:pPr>
              <w:pStyle w:val="18"/>
              <w:numPr>
                <w:ilvl w:val="0"/>
                <w:numId w:val="3"/>
              </w:numPr>
              <w:tabs>
                <w:tab w:val="left" w:pos="180"/>
              </w:tabs>
              <w:spacing w:before="120" w:after="120" w:line="276" w:lineRule="auto"/>
              <w:ind w:right="75"/>
              <w:contextualSpacing w:val="0"/>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The candidate supervises the safe handling of the materials.</w:t>
            </w:r>
          </w:p>
        </w:tc>
        <w:tc>
          <w:tcPr>
            <w:tcW w:w="1559" w:type="dxa"/>
            <w:tcBorders>
              <w:top w:val="single" w:color="A5A5A5" w:themeColor="background1" w:themeShade="A6" w:sz="4" w:space="0"/>
              <w:left w:val="nil"/>
              <w:bottom w:val="single" w:color="A5A5A5" w:themeColor="background1" w:themeShade="A6" w:sz="4" w:space="0"/>
              <w:right w:val="nil"/>
            </w:tcBorders>
          </w:tcPr>
          <w:p>
            <w:pPr>
              <w:tabs>
                <w:tab w:val="left" w:pos="180"/>
              </w:tabs>
              <w:spacing w:before="120" w:after="120" w:line="276" w:lineRule="auto"/>
              <w:ind w:left="792" w:right="29" w:hanging="360"/>
              <w:jc w:val="center"/>
              <w:rPr>
                <w:rFonts w:ascii="Arial" w:hAnsi="Arial" w:cs="Arial"/>
                <w:color w:val="262626" w:themeColor="text1" w:themeTint="D9"/>
                <w:sz w:val="16"/>
                <w:szCs w:val="16"/>
                <w14:textFill>
                  <w14:solidFill>
                    <w14:schemeClr w14:val="tx1">
                      <w14:lumMod w14:val="85000"/>
                      <w14:lumOff w14:val="15000"/>
                    </w14:schemeClr>
                  </w14:solidFill>
                </w14:textFill>
              </w:rPr>
            </w:pPr>
          </w:p>
        </w:tc>
        <w:tc>
          <w:tcPr>
            <w:tcW w:w="3119" w:type="dxa"/>
            <w:tcBorders>
              <w:top w:val="single" w:color="A5A5A5" w:themeColor="background1" w:themeShade="A6" w:sz="4" w:space="0"/>
              <w:left w:val="nil"/>
              <w:bottom w:val="single" w:color="A5A5A5" w:themeColor="background1" w:themeShade="A6" w:sz="4" w:space="0"/>
              <w:right w:val="single" w:color="A5A5A5" w:themeColor="background1" w:themeShade="A6" w:sz="4" w:space="0"/>
            </w:tcBorders>
          </w:tcPr>
          <w:p>
            <w:pPr>
              <w:spacing w:before="120" w:after="120" w:line="276" w:lineRule="auto"/>
              <w:ind w:left="792" w:right="29" w:hanging="360"/>
              <w:jc w:val="both"/>
              <w:rPr>
                <w:rFonts w:ascii="Arial" w:hAnsi="Arial" w:cs="Arial"/>
                <w:color w:val="262626" w:themeColor="text1" w:themeTint="D9"/>
                <w:sz w:val="18"/>
                <w:szCs w:val="18"/>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251" w:hRule="atLeast"/>
          <w:jc w:val="center"/>
        </w:trPr>
        <w:tc>
          <w:tcPr>
            <w:tcW w:w="4248" w:type="dxa"/>
            <w:tcBorders>
              <w:top w:val="single" w:color="A5A5A5" w:themeColor="background1" w:themeShade="A6" w:sz="4" w:space="0"/>
              <w:left w:val="single" w:color="A5A5A5" w:themeColor="background1" w:themeShade="A6" w:sz="4" w:space="0"/>
              <w:bottom w:val="single" w:color="A5A5A5" w:themeColor="background1" w:themeShade="A6" w:sz="4" w:space="0"/>
              <w:right w:val="nil"/>
            </w:tcBorders>
          </w:tcPr>
          <w:p>
            <w:pPr>
              <w:pStyle w:val="18"/>
              <w:numPr>
                <w:ilvl w:val="1"/>
                <w:numId w:val="3"/>
              </w:numPr>
              <w:tabs>
                <w:tab w:val="left" w:pos="180"/>
              </w:tabs>
              <w:spacing w:before="120" w:after="120" w:line="276" w:lineRule="auto"/>
              <w:ind w:right="75"/>
              <w:contextualSpacing w:val="0"/>
              <w:jc w:val="both"/>
              <w:rPr>
                <w:rFonts w:ascii="Arial" w:hAnsi="Arial" w:cs="Arial"/>
                <w:color w:val="auto"/>
                <w:sz w:val="18"/>
                <w:szCs w:val="18"/>
              </w:rPr>
            </w:pPr>
            <w:r>
              <w:rPr>
                <w:rFonts w:ascii="Arial" w:hAnsi="Arial" w:cs="Arial"/>
                <w:color w:val="auto"/>
                <w:sz w:val="18"/>
                <w:szCs w:val="18"/>
              </w:rPr>
              <w:t xml:space="preserve">The candidate reminds the delivery team of the organisation’s current protocols for safe material handling. </w:t>
            </w:r>
          </w:p>
        </w:tc>
        <w:tc>
          <w:tcPr>
            <w:tcW w:w="1559" w:type="dxa"/>
            <w:tcBorders>
              <w:top w:val="single" w:color="A5A5A5" w:themeColor="background1" w:themeShade="A6" w:sz="4" w:space="0"/>
              <w:left w:val="nil"/>
              <w:bottom w:val="single" w:color="A5A5A5" w:themeColor="background1" w:themeShade="A6" w:sz="4" w:space="0"/>
              <w:right w:val="nil"/>
            </w:tcBorders>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3119" w:type="dxa"/>
            <w:tcBorders>
              <w:top w:val="single" w:color="A5A5A5" w:themeColor="background1" w:themeShade="A6" w:sz="4" w:space="0"/>
              <w:left w:val="nil"/>
              <w:bottom w:val="single" w:color="A5A5A5" w:themeColor="background1" w:themeShade="A6" w:sz="4" w:space="0"/>
              <w:right w:val="single" w:color="A5A5A5" w:themeColor="background1" w:themeShade="A6" w:sz="4" w:space="0"/>
            </w:tcBorders>
          </w:tcPr>
          <w:p>
            <w:pPr>
              <w:spacing w:before="120" w:after="120" w:line="276" w:lineRule="auto"/>
              <w:ind w:left="0" w:right="29" w:firstLine="0"/>
              <w:jc w:val="both"/>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6"/>
                <w:szCs w:val="16"/>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6"/>
                <w:szCs w:val="16"/>
                <w14:textFill>
                  <w14:solidFill>
                    <w14:schemeClr w14:val="tx1">
                      <w14:lumMod w14:val="85000"/>
                      <w14:lumOff w14:val="15000"/>
                    </w14:schemeClr>
                  </w14:solidFill>
                </w14:textFill>
              </w:rPr>
              <w:fldChar w:fldCharType="separate"/>
            </w:r>
            <w:r>
              <w:rPr>
                <w:rFonts w:ascii="Arial" w:hAnsi="Arial" w:cs="Arial"/>
                <w:color w:val="262626" w:themeColor="text1" w:themeTint="D9"/>
                <w:sz w:val="16"/>
                <w:szCs w:val="16"/>
                <w14:textFill>
                  <w14:solidFill>
                    <w14:schemeClr w14:val="tx1">
                      <w14:lumMod w14:val="85000"/>
                      <w14:lumOff w14:val="15000"/>
                    </w14:schemeClr>
                  </w14:solidFill>
                </w14:textFill>
              </w:rPr>
              <w:t>     </w:t>
            </w:r>
            <w:r>
              <w:rPr>
                <w:rFonts w:ascii="Arial" w:hAnsi="Arial" w:cs="Arial"/>
                <w:color w:val="262626" w:themeColor="text1" w:themeTint="D9"/>
                <w:sz w:val="16"/>
                <w:szCs w:val="16"/>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cantSplit/>
          <w:trHeight w:val="251" w:hRule="atLeast"/>
          <w:jc w:val="center"/>
        </w:trPr>
        <w:tc>
          <w:tcPr>
            <w:tcW w:w="4248" w:type="dxa"/>
            <w:tcBorders>
              <w:top w:val="single" w:color="A5A5A5" w:themeColor="background1" w:themeShade="A6" w:sz="4" w:space="0"/>
              <w:left w:val="single" w:color="A5A5A5" w:themeColor="background1" w:themeShade="A6" w:sz="4" w:space="0"/>
              <w:bottom w:val="single" w:color="A5A5A5" w:themeColor="background1" w:themeShade="A6" w:sz="4" w:space="0"/>
              <w:right w:val="nil"/>
            </w:tcBorders>
          </w:tcPr>
          <w:p>
            <w:pPr>
              <w:pStyle w:val="18"/>
              <w:numPr>
                <w:ilvl w:val="1"/>
                <w:numId w:val="3"/>
              </w:numPr>
              <w:tabs>
                <w:tab w:val="left" w:pos="180"/>
              </w:tabs>
              <w:spacing w:before="120" w:after="120" w:line="276" w:lineRule="auto"/>
              <w:ind w:right="75"/>
              <w:contextualSpacing w:val="0"/>
              <w:jc w:val="both"/>
              <w:rPr>
                <w:rFonts w:ascii="Arial" w:hAnsi="Arial" w:cs="Arial"/>
                <w:color w:val="auto"/>
                <w:sz w:val="18"/>
                <w:szCs w:val="18"/>
              </w:rPr>
            </w:pPr>
            <w:r>
              <w:rPr>
                <w:rFonts w:ascii="Arial" w:hAnsi="Arial" w:cs="Arial"/>
                <w:color w:val="auto"/>
                <w:sz w:val="18"/>
                <w:szCs w:val="18"/>
              </w:rPr>
              <w:t>The candidate observes the storage of the materials to ensure protocols for safe material handling are being followed.</w:t>
            </w:r>
          </w:p>
        </w:tc>
        <w:tc>
          <w:tcPr>
            <w:tcW w:w="1559" w:type="dxa"/>
            <w:tcBorders>
              <w:top w:val="single" w:color="A5A5A5" w:themeColor="background1" w:themeShade="A6" w:sz="4" w:space="0"/>
              <w:left w:val="nil"/>
              <w:bottom w:val="single" w:color="A5A5A5" w:themeColor="background1" w:themeShade="A6" w:sz="4" w:space="0"/>
              <w:right w:val="nil"/>
            </w:tcBorders>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3119" w:type="dxa"/>
            <w:tcBorders>
              <w:top w:val="single" w:color="A5A5A5" w:themeColor="background1" w:themeShade="A6" w:sz="4" w:space="0"/>
              <w:left w:val="nil"/>
              <w:bottom w:val="single" w:color="A5A5A5" w:themeColor="background1" w:themeShade="A6" w:sz="4" w:space="0"/>
              <w:right w:val="single" w:color="A5A5A5" w:themeColor="background1" w:themeShade="A6" w:sz="4" w:space="0"/>
            </w:tcBorders>
          </w:tcPr>
          <w:p>
            <w:pPr>
              <w:spacing w:before="120" w:after="120" w:line="276" w:lineRule="auto"/>
              <w:ind w:left="0" w:right="29" w:firstLine="0"/>
              <w:jc w:val="both"/>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6"/>
                <w:szCs w:val="16"/>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6"/>
                <w:szCs w:val="16"/>
                <w14:textFill>
                  <w14:solidFill>
                    <w14:schemeClr w14:val="tx1">
                      <w14:lumMod w14:val="85000"/>
                      <w14:lumOff w14:val="15000"/>
                    </w14:schemeClr>
                  </w14:solidFill>
                </w14:textFill>
              </w:rPr>
              <w:fldChar w:fldCharType="separate"/>
            </w:r>
            <w:r>
              <w:rPr>
                <w:rFonts w:ascii="Arial" w:hAnsi="Arial" w:cs="Arial"/>
                <w:color w:val="262626" w:themeColor="text1" w:themeTint="D9"/>
                <w:sz w:val="16"/>
                <w:szCs w:val="16"/>
                <w14:textFill>
                  <w14:solidFill>
                    <w14:schemeClr w14:val="tx1">
                      <w14:lumMod w14:val="85000"/>
                      <w14:lumOff w14:val="15000"/>
                    </w14:schemeClr>
                  </w14:solidFill>
                </w14:textFill>
              </w:rPr>
              <w:t>     </w:t>
            </w:r>
            <w:r>
              <w:rPr>
                <w:rFonts w:ascii="Arial" w:hAnsi="Arial" w:cs="Arial"/>
                <w:color w:val="262626" w:themeColor="text1" w:themeTint="D9"/>
                <w:sz w:val="16"/>
                <w:szCs w:val="16"/>
                <w14:textFill>
                  <w14:solidFill>
                    <w14:schemeClr w14:val="tx1">
                      <w14:lumMod w14:val="85000"/>
                      <w14:lumOff w14:val="15000"/>
                    </w14:schemeClr>
                  </w14:solidFill>
                </w14:textFill>
              </w:rPr>
              <w:fldChar w:fldCharType="end"/>
            </w:r>
          </w:p>
        </w:tc>
      </w:tr>
    </w:tbl>
    <w:p/>
    <w:tbl>
      <w:tblPr>
        <w:tblStyle w:val="11"/>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82"/>
        <w:gridCol w:w="6163"/>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1880" w:hRule="atLeast"/>
          <w:jc w:val="center"/>
        </w:trPr>
        <w:tc>
          <w:tcPr>
            <w:tcW w:w="5000" w:type="pct"/>
            <w:gridSpan w:val="2"/>
            <w:shd w:val="clear" w:color="auto" w:fill="F1F1F1" w:themeFill="background1" w:themeFillShade="F2"/>
            <w:vAlign w:val="center"/>
          </w:tcPr>
          <w:p>
            <w:pPr>
              <w:spacing w:before="120" w:after="120" w:line="276" w:lineRule="auto"/>
              <w:ind w:left="65" w:right="93"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br w:type="page"/>
            </w:r>
            <w:r>
              <w:rPr>
                <w:rFonts w:ascii="Arial" w:hAnsi="Arial" w:cs="Arial"/>
                <w:b/>
                <w:bCs/>
                <w:color w:val="262626" w:themeColor="text1" w:themeTint="D9"/>
                <w:sz w:val="20"/>
                <w:szCs w:val="20"/>
                <w14:textFill>
                  <w14:solidFill>
                    <w14:schemeClr w14:val="tx1">
                      <w14:lumMod w14:val="85000"/>
                      <w14:lumOff w14:val="15000"/>
                    </w14:schemeClr>
                  </w14:solidFill>
                </w14:textFill>
              </w:rPr>
              <w:t>Assessor Declaration</w:t>
            </w:r>
          </w:p>
          <w:p>
            <w:pPr>
              <w:spacing w:before="120" w:after="120" w:line="276" w:lineRule="auto"/>
              <w:ind w:left="65" w:right="93"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By signing here, I confirm that I have assessed the candidate, whose name appears above, supervise the on-site delivery of building materials</w:t>
            </w:r>
          </w:p>
          <w:p>
            <w:pPr>
              <w:spacing w:before="120" w:after="120" w:line="276" w:lineRule="auto"/>
              <w:ind w:left="65" w:right="93"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I confirm that the information recorded on this </w:t>
            </w:r>
            <w:r>
              <w:rPr>
                <w:rFonts w:ascii="Arial" w:hAnsi="Arial" w:cs="Arial"/>
                <w:i/>
                <w:iCs/>
                <w:color w:val="262626" w:themeColor="text1" w:themeTint="D9"/>
                <w:sz w:val="20"/>
                <w:szCs w:val="20"/>
                <w14:textFill>
                  <w14:solidFill>
                    <w14:schemeClr w14:val="tx1">
                      <w14:lumMod w14:val="85000"/>
                      <w14:lumOff w14:val="15000"/>
                    </w14:schemeClr>
                  </w14:solidFill>
                </w14:textFill>
              </w:rPr>
              <w:t>Assessor’s Checklist</w:t>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is true and accurately reflects the candidate’s performance during their completion of the workplace task.</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signature</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drawing>
                <wp:inline distT="0" distB="0" distL="114300" distR="114300">
                  <wp:extent cx="1318260" cy="392430"/>
                  <wp:effectExtent l="0" t="0" r="0" b="7620"/>
                  <wp:docPr id="1" name="图片 1" descr="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 (1)"/>
                          <pic:cNvPicPr>
                            <a:picLocks noChangeAspect="1"/>
                          </pic:cNvPicPr>
                        </pic:nvPicPr>
                        <pic:blipFill>
                          <a:blip r:embed="rId12"/>
                          <a:stretch>
                            <a:fillRect/>
                          </a:stretch>
                        </pic:blipFill>
                        <pic:spPr>
                          <a:xfrm>
                            <a:off x="0" y="0"/>
                            <a:ext cx="1318260" cy="392430"/>
                          </a:xfrm>
                          <a:prstGeom prst="rect">
                            <a:avLst/>
                          </a:prstGeom>
                        </pic:spPr>
                      </pic:pic>
                    </a:graphicData>
                  </a:graphic>
                </wp:inline>
              </w:drawing>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name</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Yanzhong Zhu</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Date signed</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26/03/23</w:t>
            </w:r>
            <w:bookmarkStart w:id="1" w:name="_GoBack"/>
            <w:bookmarkEnd w:id="1"/>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before="120" w:after="120"/>
        <w:jc w:val="center"/>
        <w:rPr>
          <w:rFonts w:cstheme="minorHAnsi"/>
          <w:color w:val="A6A6A6" w:themeColor="background1" w:themeShade="A6"/>
          <w:sz w:val="20"/>
        </w:rPr>
      </w:pPr>
    </w:p>
    <w:p>
      <w:pPr>
        <w:spacing w:before="120" w:after="120"/>
        <w:jc w:val="center"/>
      </w:pPr>
      <w:r>
        <w:rPr>
          <w:rFonts w:cstheme="minorHAnsi"/>
          <w:color w:val="A6A6A6" w:themeColor="background1" w:themeShade="A6"/>
          <w:sz w:val="20"/>
        </w:rPr>
        <w:t>End of Workplace Assessment – Assessor’s Checklist</w:t>
      </w:r>
    </w:p>
    <w:sectPr>
      <w:headerReference r:id="rId7" w:type="first"/>
      <w:footerReference r:id="rId10" w:type="first"/>
      <w:headerReference r:id="rId5" w:type="default"/>
      <w:footerReference r:id="rId8" w:type="default"/>
      <w:headerReference r:id="rId6" w:type="even"/>
      <w:footerReference r:id="rId9" w:type="even"/>
      <w:pgSz w:w="11909" w:h="16834"/>
      <w:pgMar w:top="1440" w:right="1440" w:bottom="1440" w:left="1440" w:header="706" w:footer="706"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Segoe UI">
    <w:panose1 w:val="020B0502040204020203"/>
    <w:charset w:val="00"/>
    <w:family w:val="swiss"/>
    <w:pitch w:val="default"/>
    <w:sig w:usb0="E4002EFF" w:usb1="C000E47F"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469669140"/>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1184167194"/>
            <w:placeholder>
              <w:docPart w:val="58725C83E1D547E3B632AD3B582512AA"/>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v1-1_22/11/2022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1</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7</w:t>
        </w:r>
        <w:r>
          <w:rPr>
            <w:rFonts w:cs="Times New Roman"/>
            <w:bCs/>
            <w:sz w:val="16"/>
            <w:szCs w:val="16"/>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1938518334"/>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260651313"/>
            <w:placeholder>
              <w:docPart w:val="7F77CA7FD8CB459794D590C3481144F4"/>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v1-1_22/11/2022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1</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7</w:t>
        </w:r>
        <w:r>
          <w:rPr>
            <w:rFonts w:cs="Times New Roman"/>
            <w:bCs/>
            <w:sz w:val="16"/>
            <w:szCs w:val="16"/>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5E2A64"/>
    <w:multiLevelType w:val="multilevel"/>
    <w:tmpl w:val="085E2A64"/>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15410A0B"/>
    <w:multiLevelType w:val="multilevel"/>
    <w:tmpl w:val="15410A0B"/>
    <w:lvl w:ilvl="0" w:tentative="0">
      <w:start w:val="1"/>
      <w:numFmt w:val="decimal"/>
      <w:lvlText w:val="%1."/>
      <w:lvlJc w:val="left"/>
      <w:pPr>
        <w:ind w:left="720" w:hanging="360"/>
      </w:pPr>
      <w:rPr>
        <w:b w:val="0"/>
        <w:bCs w:val="0"/>
      </w:rPr>
    </w:lvl>
    <w:lvl w:ilvl="1" w:tentative="0">
      <w:start w:val="1"/>
      <w:numFmt w:val="lowerRoman"/>
      <w:lvlText w:val="%2."/>
      <w:lvlJc w:val="righ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2D79338D"/>
    <w:multiLevelType w:val="multilevel"/>
    <w:tmpl w:val="2D79338D"/>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evenAndOddHeaders w:val="1"/>
  <w:drawingGridHorizontalSpacing w:val="110"/>
  <w:displayHorizontalDrawingGridEvery w:val="2"/>
  <w:displayVerticalDrawingGridEvery w:val="2"/>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TA1MTA3sDCzNLGwMDZR0lEKTi0uzszPAykwMq4FAPcFJFUtAAAA"/>
    <w:docVar w:name="commondata" w:val="eyJoZGlkIjoiZDExODU4OTgyZTZjYjg0YzUzNzA1YzUxMmJhYmJhYWUifQ=="/>
  </w:docVars>
  <w:rsids>
    <w:rsidRoot w:val="002F29A7"/>
    <w:rsid w:val="00000D86"/>
    <w:rsid w:val="000055D1"/>
    <w:rsid w:val="00013528"/>
    <w:rsid w:val="000138D0"/>
    <w:rsid w:val="00027E5C"/>
    <w:rsid w:val="00054402"/>
    <w:rsid w:val="0006117F"/>
    <w:rsid w:val="000619AB"/>
    <w:rsid w:val="00062BE5"/>
    <w:rsid w:val="00062C35"/>
    <w:rsid w:val="00063FD8"/>
    <w:rsid w:val="00090E7C"/>
    <w:rsid w:val="000911A1"/>
    <w:rsid w:val="0009729B"/>
    <w:rsid w:val="000975D4"/>
    <w:rsid w:val="000A25A6"/>
    <w:rsid w:val="000B26D5"/>
    <w:rsid w:val="000C5280"/>
    <w:rsid w:val="000D64E2"/>
    <w:rsid w:val="00111E72"/>
    <w:rsid w:val="00123874"/>
    <w:rsid w:val="0013280A"/>
    <w:rsid w:val="00140E00"/>
    <w:rsid w:val="001462DA"/>
    <w:rsid w:val="00151E14"/>
    <w:rsid w:val="00156A03"/>
    <w:rsid w:val="001600CB"/>
    <w:rsid w:val="0017599A"/>
    <w:rsid w:val="00181C5B"/>
    <w:rsid w:val="0018395A"/>
    <w:rsid w:val="001956FC"/>
    <w:rsid w:val="001A1865"/>
    <w:rsid w:val="001A1CEB"/>
    <w:rsid w:val="001B63FD"/>
    <w:rsid w:val="001C7F8A"/>
    <w:rsid w:val="001D456C"/>
    <w:rsid w:val="001D5FC5"/>
    <w:rsid w:val="001D7D07"/>
    <w:rsid w:val="001F02AF"/>
    <w:rsid w:val="001F4A63"/>
    <w:rsid w:val="002459C7"/>
    <w:rsid w:val="002477D5"/>
    <w:rsid w:val="00260CAD"/>
    <w:rsid w:val="002637DA"/>
    <w:rsid w:val="00275CFD"/>
    <w:rsid w:val="002850A7"/>
    <w:rsid w:val="0029224E"/>
    <w:rsid w:val="002A22AD"/>
    <w:rsid w:val="002D06AB"/>
    <w:rsid w:val="002D1505"/>
    <w:rsid w:val="002D6C29"/>
    <w:rsid w:val="002F29A7"/>
    <w:rsid w:val="003035C9"/>
    <w:rsid w:val="003072A7"/>
    <w:rsid w:val="00315CD1"/>
    <w:rsid w:val="00333FA5"/>
    <w:rsid w:val="00337CFE"/>
    <w:rsid w:val="00340A73"/>
    <w:rsid w:val="00353E24"/>
    <w:rsid w:val="003648B0"/>
    <w:rsid w:val="00371D5D"/>
    <w:rsid w:val="0039482B"/>
    <w:rsid w:val="003C1922"/>
    <w:rsid w:val="003C46A3"/>
    <w:rsid w:val="003E25BD"/>
    <w:rsid w:val="003E5A30"/>
    <w:rsid w:val="003E6FE7"/>
    <w:rsid w:val="003E73D8"/>
    <w:rsid w:val="003F323F"/>
    <w:rsid w:val="003F695D"/>
    <w:rsid w:val="00414983"/>
    <w:rsid w:val="00420572"/>
    <w:rsid w:val="004405D0"/>
    <w:rsid w:val="00440B7E"/>
    <w:rsid w:val="004657BA"/>
    <w:rsid w:val="00467457"/>
    <w:rsid w:val="00477A9F"/>
    <w:rsid w:val="004831EC"/>
    <w:rsid w:val="00483F8F"/>
    <w:rsid w:val="00484193"/>
    <w:rsid w:val="004B5F69"/>
    <w:rsid w:val="004E3825"/>
    <w:rsid w:val="004E5CE5"/>
    <w:rsid w:val="004F4C8C"/>
    <w:rsid w:val="004F6F94"/>
    <w:rsid w:val="005402DA"/>
    <w:rsid w:val="0056508F"/>
    <w:rsid w:val="00571A4E"/>
    <w:rsid w:val="005836E5"/>
    <w:rsid w:val="005D1DA1"/>
    <w:rsid w:val="005E3554"/>
    <w:rsid w:val="005F379E"/>
    <w:rsid w:val="005F4237"/>
    <w:rsid w:val="0060042F"/>
    <w:rsid w:val="00613E66"/>
    <w:rsid w:val="0062445E"/>
    <w:rsid w:val="006376C4"/>
    <w:rsid w:val="00643394"/>
    <w:rsid w:val="00656D3B"/>
    <w:rsid w:val="00661AF9"/>
    <w:rsid w:val="0066533E"/>
    <w:rsid w:val="0068140D"/>
    <w:rsid w:val="00687F58"/>
    <w:rsid w:val="00692962"/>
    <w:rsid w:val="006930B9"/>
    <w:rsid w:val="00695221"/>
    <w:rsid w:val="006974C4"/>
    <w:rsid w:val="006A3EDD"/>
    <w:rsid w:val="006A6FB3"/>
    <w:rsid w:val="006A7616"/>
    <w:rsid w:val="006B18BC"/>
    <w:rsid w:val="006B3D7C"/>
    <w:rsid w:val="006B5708"/>
    <w:rsid w:val="006C75E1"/>
    <w:rsid w:val="006D347D"/>
    <w:rsid w:val="006E1245"/>
    <w:rsid w:val="006E48CB"/>
    <w:rsid w:val="006F4854"/>
    <w:rsid w:val="006F7C0A"/>
    <w:rsid w:val="00705071"/>
    <w:rsid w:val="0070795A"/>
    <w:rsid w:val="00710E6E"/>
    <w:rsid w:val="007123B0"/>
    <w:rsid w:val="00714E53"/>
    <w:rsid w:val="0072092E"/>
    <w:rsid w:val="00727D7B"/>
    <w:rsid w:val="00730B38"/>
    <w:rsid w:val="00747FA0"/>
    <w:rsid w:val="007541DC"/>
    <w:rsid w:val="0075536A"/>
    <w:rsid w:val="00772195"/>
    <w:rsid w:val="00780C7F"/>
    <w:rsid w:val="00793550"/>
    <w:rsid w:val="007A0D4A"/>
    <w:rsid w:val="007A268A"/>
    <w:rsid w:val="007C66AA"/>
    <w:rsid w:val="007D1DFD"/>
    <w:rsid w:val="007D6875"/>
    <w:rsid w:val="007E4C76"/>
    <w:rsid w:val="007E7B23"/>
    <w:rsid w:val="0080072E"/>
    <w:rsid w:val="008036A4"/>
    <w:rsid w:val="00810A94"/>
    <w:rsid w:val="00811070"/>
    <w:rsid w:val="00823DE9"/>
    <w:rsid w:val="0083339D"/>
    <w:rsid w:val="00836E71"/>
    <w:rsid w:val="0084479A"/>
    <w:rsid w:val="00845F4A"/>
    <w:rsid w:val="00866C00"/>
    <w:rsid w:val="00867B61"/>
    <w:rsid w:val="0088239C"/>
    <w:rsid w:val="0088577C"/>
    <w:rsid w:val="008A120A"/>
    <w:rsid w:val="008C3125"/>
    <w:rsid w:val="008C68C0"/>
    <w:rsid w:val="008C6C99"/>
    <w:rsid w:val="008D4457"/>
    <w:rsid w:val="008D47AD"/>
    <w:rsid w:val="008E4229"/>
    <w:rsid w:val="008F0473"/>
    <w:rsid w:val="00921507"/>
    <w:rsid w:val="00926BF3"/>
    <w:rsid w:val="009607F6"/>
    <w:rsid w:val="00960F49"/>
    <w:rsid w:val="00967FD8"/>
    <w:rsid w:val="00971458"/>
    <w:rsid w:val="00984372"/>
    <w:rsid w:val="009905B3"/>
    <w:rsid w:val="009A2CF0"/>
    <w:rsid w:val="009A4ACC"/>
    <w:rsid w:val="009B3D69"/>
    <w:rsid w:val="009C62A6"/>
    <w:rsid w:val="009C6561"/>
    <w:rsid w:val="009F093C"/>
    <w:rsid w:val="009F18B3"/>
    <w:rsid w:val="00A113A6"/>
    <w:rsid w:val="00A11D73"/>
    <w:rsid w:val="00A25C56"/>
    <w:rsid w:val="00A3355D"/>
    <w:rsid w:val="00A42AF5"/>
    <w:rsid w:val="00A60960"/>
    <w:rsid w:val="00A903E4"/>
    <w:rsid w:val="00A91405"/>
    <w:rsid w:val="00AC243B"/>
    <w:rsid w:val="00AD6E0D"/>
    <w:rsid w:val="00AE20D9"/>
    <w:rsid w:val="00AE3CC5"/>
    <w:rsid w:val="00AE719F"/>
    <w:rsid w:val="00AF0ED4"/>
    <w:rsid w:val="00B04998"/>
    <w:rsid w:val="00B21D93"/>
    <w:rsid w:val="00B2215F"/>
    <w:rsid w:val="00B25313"/>
    <w:rsid w:val="00B26548"/>
    <w:rsid w:val="00B36BA5"/>
    <w:rsid w:val="00B372A2"/>
    <w:rsid w:val="00B4322F"/>
    <w:rsid w:val="00B45B25"/>
    <w:rsid w:val="00B47C92"/>
    <w:rsid w:val="00B508EA"/>
    <w:rsid w:val="00B54294"/>
    <w:rsid w:val="00B54902"/>
    <w:rsid w:val="00B61467"/>
    <w:rsid w:val="00B62219"/>
    <w:rsid w:val="00B7272F"/>
    <w:rsid w:val="00B766E4"/>
    <w:rsid w:val="00B9532D"/>
    <w:rsid w:val="00B9699D"/>
    <w:rsid w:val="00B97564"/>
    <w:rsid w:val="00BA0312"/>
    <w:rsid w:val="00BA17D2"/>
    <w:rsid w:val="00BA4B9E"/>
    <w:rsid w:val="00BE0FA3"/>
    <w:rsid w:val="00BE2654"/>
    <w:rsid w:val="00C04052"/>
    <w:rsid w:val="00C272E7"/>
    <w:rsid w:val="00C555F4"/>
    <w:rsid w:val="00C64789"/>
    <w:rsid w:val="00C7379A"/>
    <w:rsid w:val="00CB5D12"/>
    <w:rsid w:val="00CC46FB"/>
    <w:rsid w:val="00CD0A37"/>
    <w:rsid w:val="00CE6C92"/>
    <w:rsid w:val="00CF3CA3"/>
    <w:rsid w:val="00D04493"/>
    <w:rsid w:val="00D3221D"/>
    <w:rsid w:val="00D3402E"/>
    <w:rsid w:val="00D431B2"/>
    <w:rsid w:val="00D4371F"/>
    <w:rsid w:val="00D645BA"/>
    <w:rsid w:val="00D74DB8"/>
    <w:rsid w:val="00DA2DC4"/>
    <w:rsid w:val="00DC00A0"/>
    <w:rsid w:val="00DC080F"/>
    <w:rsid w:val="00DC6A76"/>
    <w:rsid w:val="00DD10D7"/>
    <w:rsid w:val="00DF7910"/>
    <w:rsid w:val="00E05431"/>
    <w:rsid w:val="00E143C3"/>
    <w:rsid w:val="00E25721"/>
    <w:rsid w:val="00E331A0"/>
    <w:rsid w:val="00E433D9"/>
    <w:rsid w:val="00E51D40"/>
    <w:rsid w:val="00E57667"/>
    <w:rsid w:val="00E61E22"/>
    <w:rsid w:val="00E672A6"/>
    <w:rsid w:val="00E90269"/>
    <w:rsid w:val="00EA07BB"/>
    <w:rsid w:val="00EB4553"/>
    <w:rsid w:val="00EB54F4"/>
    <w:rsid w:val="00EF14E5"/>
    <w:rsid w:val="00EF7AD8"/>
    <w:rsid w:val="00F06542"/>
    <w:rsid w:val="00F50845"/>
    <w:rsid w:val="00F63EE0"/>
    <w:rsid w:val="00F73576"/>
    <w:rsid w:val="00FA1045"/>
    <w:rsid w:val="00FB06ED"/>
    <w:rsid w:val="00FB2CD7"/>
    <w:rsid w:val="00FB5F77"/>
    <w:rsid w:val="00FB6D00"/>
    <w:rsid w:val="00FB6EF4"/>
    <w:rsid w:val="775209D0"/>
  </w:rsids>
  <m:mathPr>
    <m:mathFont m:val="Cambria Math"/>
    <m:brkBin m:val="before"/>
    <m:brkBinSub m:val="--"/>
    <m:smallFrac m:val="0"/>
    <m:dispDef/>
    <m:lMargin m:val="0"/>
    <m:rMargin m:val="0"/>
    <m:defJc m:val="centerGroup"/>
    <m:wrapIndent m:val="1440"/>
    <m:intLim m:val="subSup"/>
    <m:naryLim m:val="undOvr"/>
  </m:mathPr>
  <w:themeFontLang w:val="en-PH"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AU" w:eastAsia="en-US" w:bidi="ar-SA"/>
    </w:rPr>
  </w:style>
  <w:style w:type="paragraph" w:styleId="2">
    <w:name w:val="heading 1"/>
    <w:basedOn w:val="1"/>
    <w:next w:val="1"/>
    <w:link w:val="15"/>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16"/>
    <w:unhideWhenUsed/>
    <w:qFormat/>
    <w:uiPriority w:val="9"/>
    <w:pPr>
      <w:keepNext/>
      <w:keepLines/>
      <w:spacing w:before="40" w:after="0"/>
      <w:outlineLvl w:val="1"/>
    </w:pPr>
    <w:rPr>
      <w:rFonts w:asciiTheme="majorHAnsi" w:hAnsiTheme="majorHAnsi" w:eastAsiaTheme="majorEastAsia" w:cstheme="majorBidi"/>
      <w:color w:val="2F5597" w:themeColor="accent1" w:themeShade="BF"/>
      <w:sz w:val="26"/>
      <w:szCs w:val="26"/>
    </w:rPr>
  </w:style>
  <w:style w:type="paragraph" w:styleId="4">
    <w:name w:val="heading 3"/>
    <w:basedOn w:val="1"/>
    <w:next w:val="1"/>
    <w:link w:val="20"/>
    <w:unhideWhenUsed/>
    <w:qFormat/>
    <w:uiPriority w:val="9"/>
    <w:pPr>
      <w:keepNext/>
      <w:keepLines/>
      <w:spacing w:before="40" w:after="0"/>
      <w:outlineLvl w:val="2"/>
    </w:pPr>
    <w:rPr>
      <w:rFonts w:asciiTheme="majorHAnsi" w:hAnsiTheme="majorHAnsi" w:eastAsiaTheme="majorEastAsia" w:cstheme="majorBidi"/>
      <w:color w:val="203864" w:themeColor="accent1" w:themeShade="80"/>
      <w:sz w:val="24"/>
      <w:szCs w:val="24"/>
    </w:rPr>
  </w:style>
  <w:style w:type="character" w:default="1" w:styleId="12">
    <w:name w:val="Default Paragraph Font"/>
    <w:semiHidden/>
    <w:unhideWhenUsed/>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5">
    <w:name w:val="annotation text"/>
    <w:basedOn w:val="1"/>
    <w:link w:val="23"/>
    <w:unhideWhenUsed/>
    <w:uiPriority w:val="99"/>
    <w:pPr>
      <w:spacing w:line="240" w:lineRule="auto"/>
    </w:pPr>
    <w:rPr>
      <w:sz w:val="20"/>
      <w:szCs w:val="20"/>
    </w:rPr>
  </w:style>
  <w:style w:type="paragraph" w:styleId="6">
    <w:name w:val="Balloon Text"/>
    <w:basedOn w:val="1"/>
    <w:link w:val="17"/>
    <w:semiHidden/>
    <w:unhideWhenUsed/>
    <w:uiPriority w:val="99"/>
    <w:pPr>
      <w:spacing w:after="0" w:line="240" w:lineRule="auto"/>
    </w:pPr>
    <w:rPr>
      <w:rFonts w:ascii="Segoe UI" w:hAnsi="Segoe UI" w:cs="Segoe UI"/>
      <w:sz w:val="18"/>
      <w:szCs w:val="18"/>
    </w:rPr>
  </w:style>
  <w:style w:type="paragraph" w:styleId="7">
    <w:name w:val="footer"/>
    <w:basedOn w:val="1"/>
    <w:link w:val="22"/>
    <w:unhideWhenUsed/>
    <w:uiPriority w:val="99"/>
    <w:pPr>
      <w:tabs>
        <w:tab w:val="center" w:pos="4680"/>
        <w:tab w:val="right" w:pos="9360"/>
      </w:tabs>
      <w:spacing w:after="0" w:line="240" w:lineRule="auto"/>
    </w:pPr>
  </w:style>
  <w:style w:type="paragraph" w:styleId="8">
    <w:name w:val="header"/>
    <w:basedOn w:val="1"/>
    <w:link w:val="21"/>
    <w:unhideWhenUsed/>
    <w:uiPriority w:val="99"/>
    <w:pPr>
      <w:tabs>
        <w:tab w:val="center" w:pos="4680"/>
        <w:tab w:val="right" w:pos="9360"/>
      </w:tabs>
      <w:spacing w:after="0" w:line="240" w:lineRule="auto"/>
    </w:pPr>
  </w:style>
  <w:style w:type="paragraph" w:styleId="9">
    <w:name w:val="annotation subject"/>
    <w:basedOn w:val="5"/>
    <w:next w:val="5"/>
    <w:link w:val="24"/>
    <w:semiHidden/>
    <w:unhideWhenUsed/>
    <w:uiPriority w:val="99"/>
    <w:rPr>
      <w:b/>
      <w:bCs/>
    </w:rPr>
  </w:style>
  <w:style w:type="table" w:styleId="11">
    <w:name w:val="Table Grid"/>
    <w:basedOn w:val="10"/>
    <w:uiPriority w:val="39"/>
    <w:pPr>
      <w:spacing w:before="120" w:after="120" w:line="276" w:lineRule="auto"/>
      <w:ind w:left="792" w:right="101" w:hanging="360"/>
    </w:pPr>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uiPriority w:val="99"/>
    <w:rPr>
      <w:color w:val="0563C1" w:themeColor="hyperlink"/>
      <w:u w:val="single"/>
      <w14:textFill>
        <w14:solidFill>
          <w14:schemeClr w14:val="hlink"/>
        </w14:solidFill>
      </w14:textFill>
    </w:rPr>
  </w:style>
  <w:style w:type="character" w:styleId="14">
    <w:name w:val="annotation reference"/>
    <w:basedOn w:val="12"/>
    <w:semiHidden/>
    <w:unhideWhenUsed/>
    <w:uiPriority w:val="99"/>
    <w:rPr>
      <w:sz w:val="16"/>
      <w:szCs w:val="16"/>
    </w:rPr>
  </w:style>
  <w:style w:type="character" w:customStyle="1" w:styleId="15">
    <w:name w:val="Heading 1 Char"/>
    <w:basedOn w:val="12"/>
    <w:link w:val="2"/>
    <w:uiPriority w:val="9"/>
    <w:rPr>
      <w:rFonts w:asciiTheme="majorHAnsi" w:hAnsiTheme="majorHAnsi" w:eastAsiaTheme="majorEastAsia" w:cstheme="majorBidi"/>
      <w:color w:val="2F5597" w:themeColor="accent1" w:themeShade="BF"/>
      <w:sz w:val="32"/>
      <w:szCs w:val="32"/>
      <w:lang w:val="en-AU"/>
    </w:rPr>
  </w:style>
  <w:style w:type="character" w:customStyle="1" w:styleId="16">
    <w:name w:val="Heading 2 Char"/>
    <w:basedOn w:val="12"/>
    <w:link w:val="3"/>
    <w:uiPriority w:val="9"/>
    <w:rPr>
      <w:rFonts w:asciiTheme="majorHAnsi" w:hAnsiTheme="majorHAnsi" w:eastAsiaTheme="majorEastAsia" w:cstheme="majorBidi"/>
      <w:color w:val="2F5597" w:themeColor="accent1" w:themeShade="BF"/>
      <w:sz w:val="26"/>
      <w:szCs w:val="26"/>
      <w:lang w:val="en-AU"/>
    </w:rPr>
  </w:style>
  <w:style w:type="character" w:customStyle="1" w:styleId="17">
    <w:name w:val="Balloon Text Char"/>
    <w:basedOn w:val="12"/>
    <w:link w:val="6"/>
    <w:semiHidden/>
    <w:uiPriority w:val="99"/>
    <w:rPr>
      <w:rFonts w:ascii="Segoe UI" w:hAnsi="Segoe UI" w:cs="Segoe UI"/>
      <w:sz w:val="18"/>
      <w:szCs w:val="18"/>
      <w:lang w:val="en-AU"/>
    </w:rPr>
  </w:style>
  <w:style w:type="paragraph" w:styleId="18">
    <w:name w:val="List Paragraph"/>
    <w:basedOn w:val="1"/>
    <w:link w:val="19"/>
    <w:qFormat/>
    <w:uiPriority w:val="34"/>
    <w:pPr>
      <w:ind w:left="720"/>
      <w:contextualSpacing/>
    </w:pPr>
  </w:style>
  <w:style w:type="character" w:customStyle="1" w:styleId="19">
    <w:name w:val="List Paragraph Char"/>
    <w:basedOn w:val="12"/>
    <w:link w:val="18"/>
    <w:uiPriority w:val="34"/>
    <w:rPr>
      <w:lang w:val="en-AU"/>
    </w:rPr>
  </w:style>
  <w:style w:type="character" w:customStyle="1" w:styleId="20">
    <w:name w:val="Heading 3 Char"/>
    <w:basedOn w:val="12"/>
    <w:link w:val="4"/>
    <w:uiPriority w:val="9"/>
    <w:rPr>
      <w:rFonts w:asciiTheme="majorHAnsi" w:hAnsiTheme="majorHAnsi" w:eastAsiaTheme="majorEastAsia" w:cstheme="majorBidi"/>
      <w:color w:val="203864" w:themeColor="accent1" w:themeShade="80"/>
      <w:sz w:val="24"/>
      <w:szCs w:val="24"/>
      <w:lang w:val="en-AU"/>
    </w:rPr>
  </w:style>
  <w:style w:type="character" w:customStyle="1" w:styleId="21">
    <w:name w:val="Header Char"/>
    <w:basedOn w:val="12"/>
    <w:link w:val="8"/>
    <w:uiPriority w:val="99"/>
    <w:rPr>
      <w:lang w:val="en-AU"/>
    </w:rPr>
  </w:style>
  <w:style w:type="character" w:customStyle="1" w:styleId="22">
    <w:name w:val="Footer Char"/>
    <w:basedOn w:val="12"/>
    <w:link w:val="7"/>
    <w:uiPriority w:val="99"/>
    <w:rPr>
      <w:lang w:val="en-AU"/>
    </w:rPr>
  </w:style>
  <w:style w:type="character" w:customStyle="1" w:styleId="23">
    <w:name w:val="Comment Text Char"/>
    <w:basedOn w:val="12"/>
    <w:link w:val="5"/>
    <w:uiPriority w:val="99"/>
    <w:rPr>
      <w:sz w:val="20"/>
      <w:szCs w:val="20"/>
      <w:lang w:val="en-AU"/>
    </w:rPr>
  </w:style>
  <w:style w:type="character" w:customStyle="1" w:styleId="24">
    <w:name w:val="Comment Subject Char"/>
    <w:basedOn w:val="23"/>
    <w:link w:val="9"/>
    <w:semiHidden/>
    <w:uiPriority w:val="99"/>
    <w:rPr>
      <w:b/>
      <w:bCs/>
      <w:sz w:val="20"/>
      <w:szCs w:val="20"/>
      <w:lang w:val="en-AU"/>
    </w:rPr>
  </w:style>
  <w:style w:type="character" w:customStyle="1" w:styleId="25">
    <w:name w:val="Unresolved Mention"/>
    <w:basedOn w:val="12"/>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8" Type="http://schemas.openxmlformats.org/officeDocument/2006/relationships/glossaryDocument" Target="glossary/document.xml"/><Relationship Id="rId17" Type="http://schemas.openxmlformats.org/officeDocument/2006/relationships/fontTable" Target="fontTable.xml"/><Relationship Id="rId16" Type="http://schemas.openxmlformats.org/officeDocument/2006/relationships/customXml" Target="../customXml/item3.xml"/><Relationship Id="rId15" Type="http://schemas.openxmlformats.org/officeDocument/2006/relationships/customXml" Target="../customXml/item2.xml"/><Relationship Id="rId14" Type="http://schemas.openxmlformats.org/officeDocument/2006/relationships/customXml" Target="../customXml/item1.xml"/><Relationship Id="rId13" Type="http://schemas.openxmlformats.org/officeDocument/2006/relationships/numbering" Target="numbering.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58725C83E1D547E3B632AD3B582512AA"/>
        <w:style w:val=""/>
        <w:category>
          <w:name w:val="General"/>
          <w:gallery w:val="placeholder"/>
        </w:category>
        <w:types>
          <w:type w:val="bbPlcHdr"/>
        </w:types>
        <w:behaviors>
          <w:behavior w:val="content"/>
        </w:behaviors>
        <w:description w:val=""/>
        <w:guid w:val="{70D4C5D2-EC13-4C3F-A77F-3AF202096346}"/>
      </w:docPartPr>
      <w:docPartBody>
        <w:p>
          <w:pPr>
            <w:pStyle w:val="5"/>
          </w:pPr>
          <w:r>
            <w:rPr>
              <w:rStyle w:val="4"/>
            </w:rPr>
            <w:t>[Status]</w:t>
          </w:r>
        </w:p>
      </w:docPartBody>
    </w:docPart>
    <w:docPart>
      <w:docPartPr>
        <w:name w:val="7F77CA7FD8CB459794D590C3481144F4"/>
        <w:style w:val=""/>
        <w:category>
          <w:name w:val="General"/>
          <w:gallery w:val="placeholder"/>
        </w:category>
        <w:types>
          <w:type w:val="bbPlcHdr"/>
        </w:types>
        <w:behaviors>
          <w:behavior w:val="content"/>
        </w:behaviors>
        <w:description w:val=""/>
        <w:guid w:val="{752A7440-5C1E-40CE-8719-AAE3B490D8E0}"/>
      </w:docPartPr>
      <w:docPartBody>
        <w:p>
          <w:pPr>
            <w:pStyle w:val="6"/>
          </w:pPr>
          <w:r>
            <w:rPr>
              <w:rStyle w:val="4"/>
            </w:rPr>
            <w:t>[Status]</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3D50"/>
    <w:rsid w:val="002F3D50"/>
    <w:rsid w:val="00CA0EF2"/>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uiPriority="1" w:name="Default Paragraph Font"/>
    <w:lsdException w:uiPriority="99" w:name="Normal Table"/>
    <w:lsdException w:unhideWhenUsed="0" w:uiPriority="99" w:semiHidden="0" w:name="Placeholder Text"/>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AU" w:eastAsia="en-AU" w:bidi="ar-SA"/>
    </w:rPr>
  </w:style>
  <w:style w:type="character" w:default="1" w:styleId="2">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character" w:styleId="4">
    <w:name w:val="Placeholder Text"/>
    <w:basedOn w:val="2"/>
    <w:uiPriority w:val="99"/>
    <w:rPr>
      <w:color w:val="808080"/>
    </w:rPr>
  </w:style>
  <w:style w:type="paragraph" w:customStyle="1" w:styleId="5">
    <w:name w:val="58725C83E1D547E3B632AD3B582512AA"/>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
    <w:name w:val="7F77CA7FD8CB459794D590C3481144F4"/>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SharedWithUsers xmlns="6cecd733-34d5-425b-8041-9161b6f347cb">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8184E21-57A0-4A89-B4C4-0DE0729C0BBB}">
  <ds:schemaRefs/>
</ds:datastoreItem>
</file>

<file path=customXml/itemProps2.xml><?xml version="1.0" encoding="utf-8"?>
<ds:datastoreItem xmlns:ds="http://schemas.openxmlformats.org/officeDocument/2006/customXml" ds:itemID="{4F6D13A6-9AA8-439A-8038-A2A5EBE9284B}">
  <ds:schemaRefs/>
</ds:datastoreItem>
</file>

<file path=customXml/itemProps3.xml><?xml version="1.0" encoding="utf-8"?>
<ds:datastoreItem xmlns:ds="http://schemas.openxmlformats.org/officeDocument/2006/customXml" ds:itemID="{DF2250AB-2EE7-43D5-A1F4-D5F546743DFC}">
  <ds:schemaRefs/>
</ds:datastoreItem>
</file>

<file path=docProps/app.xml><?xml version="1.0" encoding="utf-8"?>
<Properties xmlns="http://schemas.openxmlformats.org/officeDocument/2006/extended-properties" xmlns:vt="http://schemas.openxmlformats.org/officeDocument/2006/docPropsVTypes">
  <Template>Normal.dotm</Template>
  <Company>CSTC Pty Ltd (RTO #0699)</Company>
  <Pages>4</Pages>
  <Words>653</Words>
  <Characters>3710</Characters>
  <Lines>33</Lines>
  <Paragraphs>9</Paragraphs>
  <TotalTime>1</TotalTime>
  <ScaleCrop>false</ScaleCrop>
  <LinksUpToDate>false</LinksUpToDate>
  <CharactersWithSpaces>4302</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CPC</cp:category>
  <dcterms:created xsi:type="dcterms:W3CDTF">2022-11-22T01:08:00Z</dcterms:created>
  <dc:creator>TotalVET Training Resources</dc:creator>
  <cp:lastModifiedBy>Administrator</cp:lastModifiedBy>
  <dcterms:modified xsi:type="dcterms:W3CDTF">2023-03-20T04:37:52Z</dcterms:modified>
  <dc:title>CPCCBC4006</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Order">
    <vt:r8>65762900</vt:r8>
  </property>
  <property fmtid="{D5CDD505-2E9C-101B-9397-08002B2CF9AE}" pid="4" name="xd_Signature">
    <vt:bool>false</vt:bool>
  </property>
  <property fmtid="{D5CDD505-2E9C-101B-9397-08002B2CF9AE}" pid="5" name="xd_ProgID">
    <vt:lpwstr/>
  </property>
  <property fmtid="{D5CDD505-2E9C-101B-9397-08002B2CF9AE}" pid="6" name="_SourceUrl">
    <vt:lpwstr/>
  </property>
  <property fmtid="{D5CDD505-2E9C-101B-9397-08002B2CF9AE}" pid="7" name="_SharedFileIndex">
    <vt:lpwstr/>
  </property>
  <property fmtid="{D5CDD505-2E9C-101B-9397-08002B2CF9AE}" pid="8" name="ComplianceAssetId">
    <vt:lpwstr/>
  </property>
  <property fmtid="{D5CDD505-2E9C-101B-9397-08002B2CF9AE}" pid="9" name="TemplateUrl">
    <vt:lpwstr/>
  </property>
  <property fmtid="{D5CDD505-2E9C-101B-9397-08002B2CF9AE}" pid="10" name="KSOProductBuildVer">
    <vt:lpwstr>2052-11.1.0.13703</vt:lpwstr>
  </property>
  <property fmtid="{D5CDD505-2E9C-101B-9397-08002B2CF9AE}" pid="11" name="ICV">
    <vt:lpwstr>CEE5EEAAECB34DEC82D07C0706D61F51</vt:lpwstr>
  </property>
</Properties>
</file>