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pPr>
      <w: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t>Compliance Review Work Sheet</w:t>
      </w:r>
    </w:p>
    <w:p>
      <w:pPr>
        <w:pStyle w:val="3"/>
        <w:spacing w:before="120" w:after="120" w:line="276" w:lineRule="auto"/>
        <w:rPr>
          <w:color w:val="404040" w:themeColor="text1" w:themeTint="BF"/>
          <w:sz w:val="24"/>
          <w:szCs w:val="24"/>
          <w14:textFill>
            <w14:solidFill>
              <w14:schemeClr w14:val="tx1">
                <w14:lumMod w14:val="75000"/>
                <w14:lumOff w14:val="25000"/>
              </w14:schemeClr>
            </w14:solidFill>
          </w14:textFill>
        </w:rPr>
      </w:pPr>
      <w:r>
        <w:rPr>
          <w:color w:val="404040" w:themeColor="text1" w:themeTint="BF"/>
          <w:sz w:val="24"/>
          <w:szCs w:val="24"/>
          <w14:textFill>
            <w14:solidFill>
              <w14:schemeClr w14:val="tx1">
                <w14:lumMod w14:val="75000"/>
                <w14:lumOff w14:val="25000"/>
              </w14:schemeClr>
            </w14:solidFill>
          </w14:textFill>
        </w:rPr>
        <w:t>Instructions</w:t>
      </w:r>
    </w:p>
    <w:p>
      <w:pPr>
        <w:tabs>
          <w:tab w:val="left" w:pos="180"/>
        </w:tabs>
        <w:spacing w:after="120" w:line="276" w:lineRule="auto"/>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To complete this worksheet:</w:t>
      </w:r>
    </w:p>
    <w:p>
      <w:pPr>
        <w:pStyle w:val="19"/>
        <w:numPr>
          <w:ilvl w:val="0"/>
          <w:numId w:val="1"/>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Complete all preliminary fields in this sheet.</w:t>
      </w:r>
    </w:p>
    <w:p>
      <w:pPr>
        <w:pStyle w:val="19"/>
        <w:numPr>
          <w:ilvl w:val="0"/>
          <w:numId w:val="1"/>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Record all the regulations, standards, and codes applicable to the building and construction project you are undertaking for this assessment. </w:t>
      </w:r>
    </w:p>
    <w:p>
      <w:pPr>
        <w:pStyle w:val="19"/>
        <w:spacing w:before="120" w:after="120" w:line="276" w:lineRule="auto"/>
        <w:contextualSpacing w:val="0"/>
        <w:jc w:val="center"/>
        <w:rPr>
          <w:rFonts w:cstheme="minorHAnsi"/>
          <w:b/>
          <w:bCs/>
          <w:color w:val="D73329"/>
          <w:sz w:val="20"/>
          <w:szCs w:val="20"/>
        </w:rPr>
      </w:pPr>
      <w:r>
        <w:rPr>
          <w:rFonts w:cstheme="minorHAnsi"/>
          <w:b/>
          <w:bCs/>
          <w:color w:val="D73329"/>
          <w:sz w:val="20"/>
          <w:szCs w:val="20"/>
        </w:rPr>
        <w:t>IMPORTANT:</w:t>
      </w:r>
    </w:p>
    <w:p>
      <w:pPr>
        <w:pStyle w:val="19"/>
        <w:spacing w:before="120" w:after="120" w:line="276" w:lineRule="auto"/>
        <w:contextualSpacing w:val="0"/>
        <w:jc w:val="both"/>
        <w:rPr>
          <w:rFonts w:cstheme="minorHAnsi"/>
          <w:b/>
          <w:bCs/>
          <w:color w:val="D73329"/>
          <w:sz w:val="20"/>
          <w:szCs w:val="20"/>
        </w:rPr>
      </w:pPr>
      <w:r>
        <w:rPr>
          <w:rFonts w:cstheme="minorHAnsi"/>
          <w:b/>
          <w:bCs/>
          <w:color w:val="D73329"/>
          <w:sz w:val="20"/>
          <w:szCs w:val="20"/>
        </w:rPr>
        <w:t xml:space="preserve">The requirements that are to be listed below must be the requirements that apply to the building and construction project indicated above, i.e. the NCC requirements to be listed below must be the NCC requirements that apply to the building classification indicated below; regulations and standards to be listed below must be the regulations and standards required for the project and those that are enforced where the project is being undertaken. </w:t>
      </w:r>
    </w:p>
    <w:p>
      <w:pPr>
        <w:pStyle w:val="19"/>
        <w:spacing w:before="120" w:after="120" w:line="276" w:lineRule="auto"/>
        <w:contextualSpacing w:val="0"/>
        <w:jc w:val="both"/>
        <w:rPr>
          <w:rFonts w:cstheme="minorHAnsi"/>
          <w:b/>
          <w:bCs/>
          <w:color w:val="D73329"/>
          <w:sz w:val="20"/>
          <w:szCs w:val="20"/>
        </w:rPr>
      </w:pPr>
      <w:r>
        <w:rPr>
          <w:rFonts w:cstheme="minorHAnsi"/>
          <w:b/>
          <w:bCs/>
          <w:color w:val="D73329"/>
          <w:sz w:val="20"/>
          <w:szCs w:val="20"/>
        </w:rPr>
        <w:t xml:space="preserve">Requirements in blue text are only sample requirements and should be contextualised to reflect actual requirements applicable to the building and construction project you are undertaking for this assessment. </w:t>
      </w:r>
    </w:p>
    <w:p>
      <w:pPr>
        <w:pStyle w:val="19"/>
        <w:numPr>
          <w:ilvl w:val="0"/>
          <w:numId w:val="1"/>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set of construction plans against the regulations, standards, and codes you have recorded in the worksheet. Indicate whether the construction plan complies with these requirements by ticking YES or NO.</w:t>
      </w:r>
    </w:p>
    <w:p>
      <w:pPr>
        <w:pStyle w:val="19"/>
        <w:numPr>
          <w:ilvl w:val="0"/>
          <w:numId w:val="1"/>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Explain each of your response, citing specific parts in the construction plans.</w:t>
      </w:r>
    </w:p>
    <w:p>
      <w:pPr>
        <w:pStyle w:val="19"/>
        <w:numPr>
          <w:ilvl w:val="0"/>
          <w:numId w:val="1"/>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Submit this worksheet to your supervisor for review. Have them complete the Third-Party Report Form  included in the worksheet</w:t>
      </w:r>
    </w:p>
    <w:p>
      <w:pPr>
        <w:spacing w:before="120" w:after="120" w:line="276" w:lineRule="auto"/>
      </w:pPr>
    </w:p>
    <w:tbl>
      <w:tblPr>
        <w:tblStyle w:val="10"/>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2965"/>
        <w:gridCol w:w="605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965" w:type="dxa"/>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51" w:type="dxa"/>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965" w:type="dxa"/>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 role/title</w:t>
            </w:r>
          </w:p>
        </w:tc>
        <w:tc>
          <w:tcPr>
            <w:tcW w:w="6051" w:type="dxa"/>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Carpentry</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965" w:type="dxa"/>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Organisation/workplace</w:t>
            </w:r>
          </w:p>
        </w:tc>
        <w:tc>
          <w:tcPr>
            <w:tcW w:w="6051" w:type="dxa"/>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2965" w:type="dxa"/>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w:t>
            </w:r>
          </w:p>
        </w:tc>
        <w:tc>
          <w:tcPr>
            <w:tcW w:w="6051" w:type="dxa"/>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28/11/2022</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0" w:line="276" w:lineRule="auto"/>
      </w:pPr>
    </w:p>
    <w:tbl>
      <w:tblPr>
        <w:tblStyle w:val="10"/>
        <w:tblW w:w="501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9"/>
        <w:gridCol w:w="621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and construction project</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Granny Flat</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overview</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classification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Class 1 – 10 buildings, max two storeys</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Wingdings" w:hAnsi="Wingdings" w:eastAsia="Wingdings" w:cs="Wingdings"/>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Class 2 – 9 building, Type C only constructions</w:t>
            </w:r>
          </w:p>
          <w:p>
            <w:pPr>
              <w:pStyle w:val="19"/>
              <w:tabs>
                <w:tab w:val="left" w:pos="180"/>
              </w:tabs>
              <w:spacing w:before="120" w:after="120" w:line="276" w:lineRule="auto"/>
              <w:ind w:left="0" w:right="119" w:firstLine="0"/>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Specify class: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site address</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95 woodlands rd Gatton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where this project is being undertaken</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plan documents reviewed</w:t>
            </w:r>
          </w:p>
        </w:tc>
        <w:tc>
          <w:tcPr>
            <w:tcW w:w="3355"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yes</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pStyle w:val="3"/>
        <w:spacing w:before="120" w:after="120" w:line="276" w:lineRule="auto"/>
        <w:rPr>
          <w:color w:val="404040" w:themeColor="text1" w:themeTint="BF"/>
          <w:sz w:val="24"/>
          <w:szCs w:val="24"/>
          <w14:textFill>
            <w14:solidFill>
              <w14:schemeClr w14:val="tx1">
                <w14:lumMod w14:val="75000"/>
                <w14:lumOff w14:val="25000"/>
              </w14:schemeClr>
            </w14:solidFill>
          </w14:textFill>
        </w:rPr>
      </w:pPr>
      <w:r>
        <w:rPr>
          <w:color w:val="404040" w:themeColor="text1" w:themeTint="BF"/>
          <w:sz w:val="24"/>
          <w:szCs w:val="24"/>
          <w14:textFill>
            <w14:solidFill>
              <w14:schemeClr w14:val="tx1">
                <w14:lumMod w14:val="75000"/>
                <w14:lumOff w14:val="25000"/>
              </w14:schemeClr>
            </w14:solidFill>
          </w14:textFill>
        </w:rPr>
        <w:t>Building regulations</w:t>
      </w: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79"/>
        <w:gridCol w:w="1540"/>
        <w:gridCol w:w="1542"/>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regulations</w:t>
            </w:r>
          </w:p>
        </w:tc>
        <w:tc>
          <w:tcPr>
            <w:tcW w:w="166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plan complies with these requirements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Smoke alarms"/>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Smoke alarms</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lumbing and Drainage Regulations 2017"/>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Plumbing and Drainage Regulations 2017</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ipeline Regulations 2013"/>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Pipeline Regulations 2013</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line="276" w:lineRule="auto"/>
        <w:jc w:val="center"/>
        <w:rPr>
          <w:rFonts w:cstheme="minorHAnsi"/>
          <w:i/>
          <w:iCs/>
          <w:color w:val="A6A6A6" w:themeColor="background1" w:themeShade="A6"/>
          <w:sz w:val="20"/>
        </w:rPr>
      </w:pPr>
      <w:r>
        <w:rPr>
          <w:rFonts w:cstheme="minorHAnsi"/>
          <w:i/>
          <w:iCs/>
          <w:color w:val="A6A6A6" w:themeColor="background1" w:themeShade="A6"/>
          <w:sz w:val="20"/>
        </w:rPr>
        <w:t>Add more rows, as necessary.</w:t>
      </w:r>
    </w:p>
    <w:p>
      <w:pPr>
        <w:pStyle w:val="3"/>
        <w:spacing w:before="120" w:after="120" w:line="276" w:lineRule="auto"/>
        <w:rPr>
          <w:color w:val="404040" w:themeColor="text1" w:themeTint="BF"/>
          <w:sz w:val="24"/>
          <w:szCs w:val="24"/>
          <w14:textFill>
            <w14:solidFill>
              <w14:schemeClr w14:val="tx1">
                <w14:lumMod w14:val="75000"/>
                <w14:lumOff w14:val="25000"/>
              </w14:schemeClr>
            </w14:solidFill>
          </w14:textFill>
        </w:rPr>
      </w:pPr>
      <w:r>
        <w:rPr>
          <w:color w:val="404040" w:themeColor="text1" w:themeTint="BF"/>
          <w:sz w:val="24"/>
          <w:szCs w:val="24"/>
          <w14:textFill>
            <w14:solidFill>
              <w14:schemeClr w14:val="tx1">
                <w14:lumMod w14:val="75000"/>
                <w14:lumOff w14:val="25000"/>
              </w14:schemeClr>
            </w14:solidFill>
          </w14:textFill>
        </w:rPr>
        <w:t>Building standards</w:t>
      </w: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79"/>
        <w:gridCol w:w="1540"/>
        <w:gridCol w:w="1542"/>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standards</w:t>
            </w:r>
          </w:p>
        </w:tc>
        <w:tc>
          <w:tcPr>
            <w:tcW w:w="166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plan complies with these requirements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name w:val="Text1"/>
                  <w:enabled/>
                  <w:calcOnExit w:val="0"/>
                  <w:textInput>
                    <w:default w:val="AS/NZS ISO 717"/>
                  </w:textInput>
                </w:ffData>
              </w:fldChar>
            </w:r>
            <w:bookmarkStart w:id="0" w:name="Text1"/>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AS/NZS ISO 717</w:t>
            </w:r>
            <w:r>
              <w:rPr>
                <w:rFonts w:cstheme="minorHAnsi"/>
                <w:color w:val="2E75B6" w:themeColor="accent5" w:themeShade="BF"/>
                <w:sz w:val="20"/>
                <w:szCs w:val="20"/>
              </w:rPr>
              <w:fldChar w:fldCharType="end"/>
            </w:r>
            <w:bookmarkEnd w:id="0"/>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AS/NZS 1170 Part 0"/>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AS/NZS 1170 Part 0</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AS/NZS 1170 Part 1."/>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AS/NZS 1170 Part 1.</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AS/NZS 1170 Part 2"/>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AS/NZS 1170 Part 2</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AS/NZS 1170 Part 3."/>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AS/NZS 1170 Part 3.</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line="276" w:lineRule="auto"/>
        <w:jc w:val="center"/>
        <w:rPr>
          <w:rFonts w:cstheme="minorHAnsi"/>
          <w:i/>
          <w:iCs/>
          <w:color w:val="A6A6A6" w:themeColor="background1" w:themeShade="A6"/>
          <w:sz w:val="20"/>
        </w:rPr>
      </w:pPr>
      <w:r>
        <w:rPr>
          <w:rFonts w:cstheme="minorHAnsi"/>
          <w:i/>
          <w:iCs/>
          <w:color w:val="A6A6A6" w:themeColor="background1" w:themeShade="A6"/>
          <w:sz w:val="20"/>
        </w:rPr>
        <w:t>Add more rows, as necessary.</w:t>
      </w:r>
    </w:p>
    <w:p/>
    <w:p>
      <w:r>
        <w:br w:type="page"/>
      </w:r>
    </w:p>
    <w:p>
      <w:pPr>
        <w:pStyle w:val="3"/>
        <w:spacing w:before="120" w:after="120" w:line="276" w:lineRule="auto"/>
        <w:rPr>
          <w:color w:val="404040" w:themeColor="text1" w:themeTint="BF"/>
          <w:sz w:val="24"/>
          <w:szCs w:val="24"/>
          <w14:textFill>
            <w14:solidFill>
              <w14:schemeClr w14:val="tx1">
                <w14:lumMod w14:val="75000"/>
                <w14:lumOff w14:val="25000"/>
              </w14:schemeClr>
            </w14:solidFill>
          </w14:textFill>
        </w:rPr>
      </w:pPr>
      <w:r>
        <w:rPr>
          <w:color w:val="404040" w:themeColor="text1" w:themeTint="BF"/>
          <w:sz w:val="24"/>
          <w:szCs w:val="24"/>
          <w14:textFill>
            <w14:solidFill>
              <w14:schemeClr w14:val="tx1">
                <w14:lumMod w14:val="75000"/>
                <w14:lumOff w14:val="25000"/>
              </w14:schemeClr>
            </w14:solidFill>
          </w14:textFill>
        </w:rPr>
        <w:t>NCC Requirements</w:t>
      </w:r>
    </w:p>
    <w:p>
      <w:pPr>
        <w:pStyle w:val="4"/>
        <w:spacing w:before="120" w:after="120"/>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pPr>
      <w:r>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t>Fire safety</w:t>
      </w: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79"/>
        <w:gridCol w:w="1540"/>
        <w:gridCol w:w="1542"/>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Requirements</w:t>
            </w:r>
          </w:p>
        </w:tc>
        <w:tc>
          <w:tcPr>
            <w:tcW w:w="166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plan complies with these requirements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120" w:after="120" w:line="276" w:lineRule="auto"/>
              <w:ind w:left="0" w:right="119" w:firstLine="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2.3.1 Spread of fire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P2.3.1 Spread of fire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7.1 Fire properties for materials and construction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3.7.1 Fire properties for materials and construction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7.2 Fire separation of external wall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3.7.2 Fire separation of external walls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7.3 Fire protection of separating walls and floor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3.7.3 Fire protection of separating walls and floors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textInput>
                    <w:default w:val="Part 3.7.4 Fire separation of garage top dwelling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3.7.4 Fire separation of garage top dwellings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line="276" w:lineRule="auto"/>
        <w:jc w:val="center"/>
        <w:rPr>
          <w:rFonts w:cstheme="minorHAnsi"/>
          <w:i/>
          <w:iCs/>
          <w:color w:val="A6A6A6" w:themeColor="background1" w:themeShade="A6"/>
          <w:sz w:val="20"/>
        </w:rPr>
      </w:pPr>
      <w:r>
        <w:rPr>
          <w:rFonts w:cstheme="minorHAnsi"/>
          <w:i/>
          <w:iCs/>
          <w:color w:val="A6A6A6" w:themeColor="background1" w:themeShade="A6"/>
          <w:sz w:val="20"/>
        </w:rPr>
        <w:t>Add more rows, as necessary.</w:t>
      </w:r>
    </w:p>
    <w:p/>
    <w:p>
      <w:pPr>
        <w:pStyle w:val="4"/>
        <w:spacing w:before="120" w:after="120"/>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pPr>
      <w:r>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t>Health and amenity</w:t>
      </w: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79"/>
        <w:gridCol w:w="1540"/>
        <w:gridCol w:w="1542"/>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Requirements</w:t>
            </w:r>
          </w:p>
        </w:tc>
        <w:tc>
          <w:tcPr>
            <w:tcW w:w="166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plan complies with these requirements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120" w:after="120" w:line="276" w:lineRule="auto"/>
              <w:ind w:left="0" w:right="119" w:firstLine="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2.2  Weatherproofing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2.2.2  Weatherproofing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120" w:after="120" w:line="276" w:lineRule="auto"/>
              <w:ind w:left="0" w:right="119" w:firstLine="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4.1 Wet area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2.4.1 Wet areas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120" w:after="120" w:line="276" w:lineRule="auto"/>
              <w:ind w:left="0" w:right="119" w:firstLine="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4.2 Room height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2.4.2 Room heights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4.3 Personal hygiene and other facilitie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2.4.3 Personal hygiene and other facilities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120" w:after="120" w:line="276" w:lineRule="auto"/>
              <w:ind w:left="0" w:right="119" w:firstLine="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4.4 Lighting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2.4.4 Lighting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line="276" w:lineRule="auto"/>
        <w:jc w:val="center"/>
        <w:rPr>
          <w:rFonts w:cstheme="minorHAnsi"/>
          <w:i/>
          <w:iCs/>
          <w:color w:val="A6A6A6" w:themeColor="background1" w:themeShade="A6"/>
          <w:sz w:val="20"/>
        </w:rPr>
      </w:pPr>
      <w:r>
        <w:rPr>
          <w:rFonts w:cstheme="minorHAnsi"/>
          <w:i/>
          <w:iCs/>
          <w:color w:val="A6A6A6" w:themeColor="background1" w:themeShade="A6"/>
          <w:sz w:val="20"/>
        </w:rPr>
        <w:t>Add more rows, as necessary.</w:t>
      </w:r>
    </w:p>
    <w:p>
      <w:r>
        <w:br w:type="page"/>
      </w:r>
    </w:p>
    <w:p>
      <w:pPr>
        <w:pStyle w:val="4"/>
        <w:spacing w:before="120" w:after="120"/>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pPr>
      <w:r>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t>Safe movement and access</w:t>
      </w: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79"/>
        <w:gridCol w:w="1540"/>
        <w:gridCol w:w="1542"/>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Requirements</w:t>
            </w:r>
          </w:p>
        </w:tc>
        <w:tc>
          <w:tcPr>
            <w:tcW w:w="166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plan complies with these requirements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5.1 Movement to and within a building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2.5.1 Movement to and within a building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5.2 Fall prevention barriers of the NCC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2.5.2 Fall prevention barriers of the NCC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0"/>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9.1 Stairway and ramp construction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3.9.1 Stairway and ramp construction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9.2 Barriers and handrail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3.9.2 Barriers and handrails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line="276" w:lineRule="auto"/>
        <w:jc w:val="center"/>
        <w:rPr>
          <w:rFonts w:cstheme="minorHAnsi"/>
          <w:i/>
          <w:iCs/>
          <w:color w:val="A6A6A6" w:themeColor="background1" w:themeShade="A6"/>
          <w:sz w:val="20"/>
        </w:rPr>
      </w:pPr>
      <w:r>
        <w:rPr>
          <w:rFonts w:cstheme="minorHAnsi"/>
          <w:i/>
          <w:iCs/>
          <w:color w:val="A6A6A6" w:themeColor="background1" w:themeShade="A6"/>
          <w:sz w:val="20"/>
        </w:rPr>
        <w:t>Add more rows, as necessary.</w:t>
      </w:r>
    </w:p>
    <w:p>
      <w:pPr>
        <w:pStyle w:val="4"/>
        <w:spacing w:before="120" w:after="120"/>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pPr>
      <w:r>
        <w:rPr>
          <w:rFonts w:asciiTheme="minorHAnsi" w:hAnsiTheme="minorHAnsi" w:cstheme="minorHAnsi"/>
          <w:b/>
          <w:bCs/>
          <w:color w:val="404040" w:themeColor="text1" w:themeTint="BF"/>
          <w:sz w:val="22"/>
          <w:szCs w:val="22"/>
          <w14:textFill>
            <w14:solidFill>
              <w14:schemeClr w14:val="tx1">
                <w14:lumMod w14:val="75000"/>
                <w14:lumOff w14:val="25000"/>
              </w14:schemeClr>
            </w14:solidFill>
          </w14:textFill>
        </w:rPr>
        <w:t>Energy efficiency</w:t>
      </w: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79"/>
        <w:gridCol w:w="1540"/>
        <w:gridCol w:w="1542"/>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Requirements</w:t>
            </w:r>
          </w:p>
        </w:tc>
        <w:tc>
          <w:tcPr>
            <w:tcW w:w="1667"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plan complies with these requirements</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Explanation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6.1 Building of the NCC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2.6.1 Building of the NCC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2.6.2 Services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2.6.2 Services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12 Energy efficiency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3.12 Energy efficiency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12.1 Building facric"/>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Part 3.12.1 Building fabric</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E75B6" w:themeColor="accent5" w:themeShade="BF"/>
                <w:sz w:val="20"/>
                <w:szCs w:val="20"/>
              </w:rPr>
            </w:pPr>
            <w:r>
              <w:rPr>
                <w:rFonts w:cstheme="minorHAnsi"/>
                <w:color w:val="2E75B6" w:themeColor="accent5" w:themeShade="BF"/>
                <w:sz w:val="20"/>
                <w:szCs w:val="20"/>
              </w:rPr>
              <w:fldChar w:fldCharType="begin">
                <w:ffData>
                  <w:enabled/>
                  <w:calcOnExit w:val="0"/>
                  <w:textInput>
                    <w:default w:val="Part 3.12.2 External glazing "/>
                  </w:textInput>
                </w:ffData>
              </w:fldChar>
            </w:r>
            <w:r>
              <w:rPr>
                <w:rFonts w:cstheme="minorHAnsi"/>
                <w:color w:val="2E75B6" w:themeColor="accent5" w:themeShade="BF"/>
                <w:sz w:val="20"/>
                <w:szCs w:val="20"/>
              </w:rPr>
              <w:instrText xml:space="preserve"> FORMTEXT </w:instrText>
            </w:r>
            <w:r>
              <w:rPr>
                <w:rFonts w:cstheme="minorHAnsi"/>
                <w:color w:val="2E75B6" w:themeColor="accent5" w:themeShade="BF"/>
                <w:sz w:val="20"/>
                <w:szCs w:val="20"/>
              </w:rPr>
              <w:fldChar w:fldCharType="separate"/>
            </w:r>
            <w:r>
              <w:rPr>
                <w:rFonts w:cstheme="minorHAnsi"/>
                <w:color w:val="2E75B6" w:themeColor="accent5" w:themeShade="BF"/>
                <w:sz w:val="20"/>
                <w:szCs w:val="20"/>
              </w:rPr>
              <w:t xml:space="preserve">Part 3.12.2 External glazing </w:t>
            </w:r>
            <w:r>
              <w:rPr>
                <w:rFonts w:cstheme="minorHAnsi"/>
                <w:color w:val="2E75B6" w:themeColor="accent5" w:themeShade="BF"/>
                <w:sz w:val="20"/>
                <w:szCs w:val="20"/>
              </w:rPr>
              <w:fldChar w:fldCharType="end"/>
            </w:r>
          </w:p>
        </w:tc>
        <w:tc>
          <w:tcPr>
            <w:tcW w:w="83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83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line="276" w:lineRule="auto"/>
        <w:jc w:val="center"/>
        <w:rPr>
          <w:rFonts w:cstheme="minorHAnsi"/>
          <w:i/>
          <w:iCs/>
          <w:color w:val="A6A6A6" w:themeColor="background1" w:themeShade="A6"/>
          <w:sz w:val="20"/>
        </w:rPr>
      </w:pPr>
      <w:r>
        <w:rPr>
          <w:rFonts w:cstheme="minorHAnsi"/>
          <w:i/>
          <w:iCs/>
          <w:color w:val="A6A6A6" w:themeColor="background1" w:themeShade="A6"/>
          <w:sz w:val="20"/>
        </w:rPr>
        <w:t>Add more rows, as necessary.</w:t>
      </w:r>
    </w:p>
    <w:p>
      <w:pPr>
        <w:rPr>
          <w:rFonts w:cstheme="minorHAnsi"/>
          <w:i/>
          <w:iCs/>
          <w:color w:val="A6A6A6" w:themeColor="background1" w:themeShade="A6"/>
          <w:sz w:val="20"/>
        </w:rPr>
      </w:pPr>
      <w:r>
        <w:rPr>
          <w:rFonts w:cstheme="minorHAnsi"/>
          <w:i/>
          <w:iCs/>
          <w:color w:val="A6A6A6" w:themeColor="background1" w:themeShade="A6"/>
          <w:sz w:val="20"/>
        </w:rPr>
        <w:br w:type="page"/>
      </w:r>
    </w:p>
    <w:p>
      <w:pPr>
        <w:pStyle w:val="2"/>
        <w:spacing w:before="120" w:after="120" w:line="276" w:lineRule="auto"/>
        <w:jc w:val="cente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pPr>
      <w:r>
        <w:rPr>
          <w:rFonts w:asciiTheme="minorHAnsi" w:hAnsiTheme="minorHAnsi" w:cstheme="minorHAnsi"/>
          <w:color w:val="262626" w:themeColor="text1" w:themeTint="D9"/>
          <w:sz w:val="36"/>
          <w:szCs w:val="36"/>
          <w14:textFill>
            <w14:solidFill>
              <w14:schemeClr w14:val="tx1">
                <w14:lumMod w14:val="85000"/>
                <w14:lumOff w14:val="15000"/>
              </w14:schemeClr>
            </w14:solidFill>
          </w14:textFill>
        </w:rPr>
        <w:t xml:space="preserve">Third-Party Report Form </w:t>
      </w:r>
    </w:p>
    <w:p>
      <w:pPr>
        <w:tabs>
          <w:tab w:val="left" w:pos="180"/>
        </w:tabs>
        <w:spacing w:after="120" w:line="276" w:lineRule="auto"/>
        <w:jc w:val="center"/>
        <w:rPr>
          <w:rFonts w:asciiTheme="majorHAnsi" w:hAnsiTheme="majorHAnsi" w:cstheme="majorHAnsi"/>
          <w:i/>
          <w:iCs/>
          <w:color w:val="262626" w:themeColor="text1" w:themeTint="D9"/>
          <w:sz w:val="24"/>
          <w:szCs w:val="24"/>
          <w14:textFill>
            <w14:solidFill>
              <w14:schemeClr w14:val="tx1">
                <w14:lumMod w14:val="85000"/>
                <w14:lumOff w14:val="15000"/>
              </w14:schemeClr>
            </w14:solidFill>
          </w14:textFill>
        </w:rPr>
      </w:pPr>
      <w:r>
        <w:rPr>
          <w:rFonts w:asciiTheme="majorHAnsi" w:hAnsiTheme="majorHAnsi" w:cstheme="majorHAnsi"/>
          <w:i/>
          <w:iCs/>
          <w:color w:val="262626" w:themeColor="text1" w:themeTint="D9"/>
          <w:sz w:val="24"/>
          <w:szCs w:val="24"/>
          <w14:textFill>
            <w14:solidFill>
              <w14:schemeClr w14:val="tx1">
                <w14:lumMod w14:val="85000"/>
                <w14:lumOff w14:val="15000"/>
              </w14:schemeClr>
            </w14:solidFill>
          </w14:textFill>
        </w:rPr>
        <w:t>(For Workplace Supervisor’s Use Only)</w:t>
      </w:r>
    </w:p>
    <w:p>
      <w:pPr>
        <w:tabs>
          <w:tab w:val="left" w:pos="180"/>
        </w:tabs>
        <w:spacing w:after="120" w:line="276" w:lineRule="auto"/>
        <w:jc w:val="center"/>
        <w:rPr>
          <w:rFonts w:cstheme="minorHAnsi"/>
          <w:b/>
          <w:bCs/>
          <w:color w:val="262626" w:themeColor="text1" w:themeTint="D9"/>
          <w:sz w:val="20"/>
          <w:szCs w:val="20"/>
          <w14:textFill>
            <w14:solidFill>
              <w14:schemeClr w14:val="tx1">
                <w14:lumMod w14:val="85000"/>
                <w14:lumOff w14:val="15000"/>
              </w14:schemeClr>
            </w14:solidFill>
          </w14:textFill>
        </w:rPr>
      </w:pPr>
      <w:r>
        <w:rPr>
          <w:rFonts w:cstheme="minorHAnsi"/>
          <w:b/>
          <w:bCs/>
          <w:color w:val="262626" w:themeColor="text1" w:themeTint="D9"/>
          <w:sz w:val="20"/>
          <w:szCs w:val="20"/>
          <w14:textFill>
            <w14:solidFill>
              <w14:schemeClr w14:val="tx1">
                <w14:lumMod w14:val="85000"/>
                <w14:lumOff w14:val="15000"/>
              </w14:schemeClr>
            </w14:solidFill>
          </w14:textFill>
        </w:rPr>
        <w:t>To the Supervisor</w:t>
      </w:r>
    </w:p>
    <w:p>
      <w:pPr>
        <w:tabs>
          <w:tab w:val="left" w:pos="180"/>
        </w:tabs>
        <w:spacing w:after="120" w:line="276" w:lineRule="auto"/>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To complete the Third-Party Report Form:</w:t>
      </w:r>
    </w:p>
    <w:p>
      <w:pPr>
        <w:pStyle w:val="19"/>
        <w:numPr>
          <w:ilvl w:val="0"/>
          <w:numId w:val="2"/>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completed Compliance Review Work Sheet while referring to the set of construction plans the candidate reviewed for this assessment.</w:t>
      </w:r>
    </w:p>
    <w:p>
      <w:pPr>
        <w:pStyle w:val="19"/>
        <w:numPr>
          <w:ilvl w:val="0"/>
          <w:numId w:val="2"/>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Review the candidate’s submission against the criteria below. </w:t>
      </w:r>
    </w:p>
    <w:p>
      <w:pPr>
        <w:pStyle w:val="19"/>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w:t>
      </w:r>
    </w:p>
    <w:p>
      <w:pPr>
        <w:pStyle w:val="19"/>
        <w:numPr>
          <w:ilvl w:val="1"/>
          <w:numId w:val="2"/>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the candidate’s submission satisfactorily meets the criterion.</w:t>
      </w:r>
    </w:p>
    <w:p>
      <w:pPr>
        <w:pStyle w:val="19"/>
        <w:numPr>
          <w:ilvl w:val="1"/>
          <w:numId w:val="2"/>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f the candidate’s submission does not satisfactorily meet the criterion.</w:t>
      </w:r>
    </w:p>
    <w:p>
      <w:pPr>
        <w:pStyle w:val="19"/>
        <w:numPr>
          <w:ilvl w:val="0"/>
          <w:numId w:val="2"/>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Provide specific written comments regarding the candidate’s submissions.</w:t>
      </w:r>
    </w:p>
    <w:p>
      <w:pPr>
        <w:pStyle w:val="19"/>
        <w:numPr>
          <w:ilvl w:val="0"/>
          <w:numId w:val="2"/>
        </w:numPr>
        <w:spacing w:before="120" w:after="120" w:line="276" w:lineRule="auto"/>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Complete and sign the Declaration section of this form. Your signature must be handwritten.</w:t>
      </w:r>
    </w:p>
    <w:p>
      <w:pPr>
        <w:spacing w:before="120" w:after="120" w:line="276" w:lineRule="auto"/>
        <w:jc w:val="both"/>
        <w:rPr>
          <w:rFonts w:cstheme="minorHAnsi"/>
          <w:color w:val="262626" w:themeColor="text1" w:themeTint="D9"/>
          <w:sz w:val="20"/>
          <w:szCs w:val="20"/>
          <w14:textFill>
            <w14:solidFill>
              <w14:schemeClr w14:val="tx1">
                <w14:lumMod w14:val="85000"/>
                <w14:lumOff w14:val="15000"/>
              </w14:schemeClr>
            </w14:solidFill>
          </w14:textFill>
        </w:rPr>
      </w:pP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946"/>
        <w:gridCol w:w="1113"/>
        <w:gridCol w:w="1115"/>
        <w:gridCol w:w="306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supervisor confirms that this Compliance Review Worksheet:</w:t>
            </w:r>
          </w:p>
        </w:tc>
        <w:tc>
          <w:tcPr>
            <w:tcW w:w="120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Y/N</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Supervisor’s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3"/>
              </w:numPr>
              <w:tabs>
                <w:tab w:val="left" w:pos="180"/>
              </w:tabs>
              <w:spacing w:before="120" w:after="120" w:line="276" w:lineRule="auto"/>
              <w:ind w:left="608"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Contains all the current</w:t>
            </w:r>
            <w:r>
              <w:rPr>
                <w:rFonts w:ascii="Arial" w:hAnsi="Arial" w:cs="Arial"/>
                <w:b/>
                <w:bCs/>
                <w:color w:val="262626" w:themeColor="text1" w:themeTint="D9"/>
                <w:sz w:val="20"/>
                <w:szCs w:val="20"/>
                <w14:textFill>
                  <w14:solidFill>
                    <w14:schemeClr w14:val="tx1">
                      <w14:lumMod w14:val="85000"/>
                      <w14:lumOff w14:val="15000"/>
                    </w14:schemeClr>
                  </w14:solidFill>
                </w14:textFill>
              </w:rPr>
              <w:t xml:space="preserve"> building regulations</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that apply to the project indicated in this sheet.</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3"/>
              </w:numPr>
              <w:tabs>
                <w:tab w:val="left" w:pos="180"/>
              </w:tabs>
              <w:spacing w:before="120" w:after="120" w:line="276" w:lineRule="auto"/>
              <w:ind w:left="608"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Contains all the current </w:t>
            </w:r>
            <w:r>
              <w:rPr>
                <w:rFonts w:ascii="Arial" w:hAnsi="Arial" w:cs="Arial"/>
                <w:b/>
                <w:bCs/>
                <w:color w:val="262626" w:themeColor="text1" w:themeTint="D9"/>
                <w:sz w:val="20"/>
                <w:szCs w:val="20"/>
                <w14:textFill>
                  <w14:solidFill>
                    <w14:schemeClr w14:val="tx1">
                      <w14:lumMod w14:val="85000"/>
                      <w14:lumOff w14:val="15000"/>
                    </w14:schemeClr>
                  </w14:solidFill>
                </w14:textFill>
              </w:rPr>
              <w:t>building standards</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that apply to the project indicated in this sheet.</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3"/>
              </w:numPr>
              <w:tabs>
                <w:tab w:val="left" w:pos="180"/>
              </w:tabs>
              <w:spacing w:before="120" w:after="120" w:line="276" w:lineRule="auto"/>
              <w:ind w:left="608"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Contains all the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fire safety</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that apply to the project indicated in this sheet.</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3"/>
              </w:numPr>
              <w:tabs>
                <w:tab w:val="left" w:pos="180"/>
              </w:tabs>
              <w:spacing w:before="120" w:after="120" w:line="276" w:lineRule="auto"/>
              <w:ind w:left="608"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Contains all the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health and amenity</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that apply to the project indicated in this sheet.</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3"/>
              </w:numPr>
              <w:tabs>
                <w:tab w:val="left" w:pos="180"/>
              </w:tabs>
              <w:spacing w:before="120" w:after="120" w:line="276" w:lineRule="auto"/>
              <w:ind w:left="608"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Contains all the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safe movement and access</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that apply to the project indicated in this sheet.</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3"/>
              </w:numPr>
              <w:tabs>
                <w:tab w:val="left" w:pos="180"/>
              </w:tabs>
              <w:spacing w:before="120" w:after="120" w:line="276" w:lineRule="auto"/>
              <w:ind w:left="608"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Contains all the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energy efficiency</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that apply to the project indicated in this sheet.</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supervisor agrees with:</w:t>
            </w:r>
          </w:p>
        </w:tc>
        <w:tc>
          <w:tcPr>
            <w:tcW w:w="1205"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Y/N</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E7E6E6" w:themeFill="background2"/>
          </w:tcPr>
          <w:p>
            <w:pPr>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Supervisor’s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4"/>
              </w:numPr>
              <w:tabs>
                <w:tab w:val="left" w:pos="180"/>
              </w:tabs>
              <w:spacing w:before="120" w:after="120" w:line="276" w:lineRule="auto"/>
              <w:ind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candidate’s evaluation of the construction plans’ compliance with current</w:t>
            </w:r>
            <w:r>
              <w:rPr>
                <w:rFonts w:ascii="Arial" w:hAnsi="Arial" w:cs="Arial"/>
                <w:b/>
                <w:bCs/>
                <w:color w:val="262626" w:themeColor="text1" w:themeTint="D9"/>
                <w:sz w:val="20"/>
                <w:szCs w:val="20"/>
                <w14:textFill>
                  <w14:solidFill>
                    <w14:schemeClr w14:val="tx1">
                      <w14:lumMod w14:val="85000"/>
                      <w14:lumOff w14:val="15000"/>
                    </w14:schemeClr>
                  </w14:solidFill>
                </w14:textFill>
              </w:rPr>
              <w:t xml:space="preserve"> building regulations.</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4"/>
              </w:numPr>
              <w:tabs>
                <w:tab w:val="left" w:pos="180"/>
              </w:tabs>
              <w:spacing w:before="120" w:after="120" w:line="276" w:lineRule="auto"/>
              <w:ind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The candidate’s evaluation of the construction plans’ compliance with current </w:t>
            </w:r>
            <w:r>
              <w:rPr>
                <w:rFonts w:ascii="Arial" w:hAnsi="Arial" w:cs="Arial"/>
                <w:b/>
                <w:bCs/>
                <w:color w:val="262626" w:themeColor="text1" w:themeTint="D9"/>
                <w:sz w:val="20"/>
                <w:szCs w:val="20"/>
                <w14:textFill>
                  <w14:solidFill>
                    <w14:schemeClr w14:val="tx1">
                      <w14:lumMod w14:val="85000"/>
                      <w14:lumOff w14:val="15000"/>
                    </w14:schemeClr>
                  </w14:solidFill>
                </w14:textFill>
              </w:rPr>
              <w:t>building standards.</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4"/>
              </w:numPr>
              <w:tabs>
                <w:tab w:val="left" w:pos="180"/>
              </w:tabs>
              <w:spacing w:before="120" w:after="120" w:line="276" w:lineRule="auto"/>
              <w:ind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The candidate’s evaluation of the construction plans’ compliance with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fire safety.</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4"/>
              </w:numPr>
              <w:tabs>
                <w:tab w:val="left" w:pos="180"/>
              </w:tabs>
              <w:spacing w:before="120" w:after="120" w:line="276" w:lineRule="auto"/>
              <w:ind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The candidate’s evaluation of the construction plans’ compliance with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health and amenity.</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4"/>
              </w:numPr>
              <w:tabs>
                <w:tab w:val="left" w:pos="180"/>
              </w:tabs>
              <w:spacing w:before="120" w:after="120" w:line="276" w:lineRule="auto"/>
              <w:ind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The candidate’s evaluation of the construction plans’ compliance with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safe movement and access.</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2135"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numPr>
                <w:ilvl w:val="0"/>
                <w:numId w:val="4"/>
              </w:numPr>
              <w:tabs>
                <w:tab w:val="left" w:pos="180"/>
              </w:tabs>
              <w:spacing w:before="120" w:after="120" w:line="276" w:lineRule="auto"/>
              <w:ind w:right="119"/>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The candidate’s evaluation of the construction plans’ compliance with </w:t>
            </w:r>
            <w:r>
              <w:rPr>
                <w:rFonts w:ascii="Arial" w:hAnsi="Arial" w:cs="Arial"/>
                <w:b/>
                <w:bCs/>
                <w:color w:val="262626" w:themeColor="text1" w:themeTint="D9"/>
                <w:sz w:val="20"/>
                <w:szCs w:val="20"/>
                <w14:textFill>
                  <w14:solidFill>
                    <w14:schemeClr w14:val="tx1">
                      <w14:lumMod w14:val="85000"/>
                      <w14:lumOff w14:val="15000"/>
                    </w14:schemeClr>
                  </w14:solidFill>
                </w14:textFill>
              </w:rPr>
              <w:t>NCC requirements for energy efficiency.</w:t>
            </w:r>
          </w:p>
        </w:tc>
        <w:tc>
          <w:tcPr>
            <w:tcW w:w="60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w:t>
            </w:r>
          </w:p>
        </w:tc>
        <w:tc>
          <w:tcPr>
            <w:tcW w:w="603"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66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19"/>
              <w:tabs>
                <w:tab w:val="left" w:pos="180"/>
              </w:tabs>
              <w:spacing w:before="120" w:after="120" w:line="276" w:lineRule="auto"/>
              <w:ind w:left="0" w:right="119" w:firstLine="25"/>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0"/>
      </w:pPr>
    </w:p>
    <w:tbl>
      <w:tblPr>
        <w:tblStyle w:val="10"/>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3079"/>
        <w:gridCol w:w="308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3"/>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Supervisor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By signing here, I confirm that I have reviewed this Compliance Review Worksheet which the candidate (whose name appears above) has completed. </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that the information recorded on this Compliance Review Worksheet is true and accurately reflects the candidate’s performance during their completion of the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Supervisor’s signature</w:t>
            </w:r>
          </w:p>
        </w:tc>
        <w:tc>
          <w:tcPr>
            <w:tcW w:w="3333"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656715" cy="193040"/>
                  <wp:effectExtent l="0" t="0" r="0" b="1651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8"/>
                          <a:stretch>
                            <a:fillRect/>
                          </a:stretch>
                        </pic:blipFill>
                        <pic:spPr>
                          <a:xfrm>
                            <a:off x="0" y="0"/>
                            <a:ext cx="1656715" cy="19304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Supervisor’s name</w:t>
            </w:r>
          </w:p>
        </w:tc>
        <w:tc>
          <w:tcPr>
            <w:tcW w:w="3333"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(required)</w:t>
            </w:r>
          </w:p>
        </w:tc>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tcBorders>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Contact number: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0406160720</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666" w:type="pct"/>
            <w:tcBorders>
              <w:top w:val="single" w:color="A5A5A5" w:themeColor="background1" w:themeShade="A6" w:sz="4" w:space="0"/>
              <w:left w:val="single" w:color="A5A5A5" w:themeColor="background1" w:themeShade="A6" w:sz="4" w:space="0"/>
              <w:bottom w:val="single" w:color="A5A5A5" w:themeColor="background1" w:themeShade="A6" w:sz="4" w:space="0"/>
            </w:tcBorders>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Email address: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steve.zhu.au@hotmail.com</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gridSpan w:val="2"/>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28/11/2022</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line="276" w:lineRule="auto"/>
        <w:jc w:val="center"/>
        <w:rPr>
          <w:rFonts w:cstheme="minorHAnsi"/>
          <w:color w:val="A6A6A6" w:themeColor="background1" w:themeShade="A6"/>
          <w:sz w:val="20"/>
        </w:rPr>
      </w:pPr>
      <w:r>
        <w:rPr>
          <w:rFonts w:cstheme="minorHAnsi"/>
          <w:color w:val="A6A6A6" w:themeColor="background1" w:themeShade="A6"/>
          <w:sz w:val="20"/>
        </w:rPr>
        <w:t>End of Compliance Review Work Sheet</w:t>
      </w:r>
    </w:p>
    <w:sectPr>
      <w:footerReference r:id="rId5" w:type="default"/>
      <w:footerReference r:id="rId6" w:type="even"/>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CD8DE119501F41709C3C660D67A86BB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61333041"/>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613782110"/>
            <w:placeholder>
              <w:docPart w:val="7DF2F35576DE4EF5877CBE179C74843D"/>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5456DA"/>
    <w:multiLevelType w:val="multilevel"/>
    <w:tmpl w:val="2F5456DA"/>
    <w:lvl w:ilvl="0" w:tentative="0">
      <w:start w:val="1"/>
      <w:numFmt w:val="decimal"/>
      <w:lvlText w:val="%1."/>
      <w:lvlJc w:val="left"/>
      <w:pPr>
        <w:ind w:left="745" w:hanging="360"/>
      </w:pPr>
    </w:lvl>
    <w:lvl w:ilvl="1" w:tentative="0">
      <w:start w:val="1"/>
      <w:numFmt w:val="lowerLetter"/>
      <w:lvlText w:val="%2."/>
      <w:lvlJc w:val="left"/>
      <w:pPr>
        <w:ind w:left="1465" w:hanging="360"/>
      </w:pPr>
    </w:lvl>
    <w:lvl w:ilvl="2" w:tentative="0">
      <w:start w:val="1"/>
      <w:numFmt w:val="lowerRoman"/>
      <w:lvlText w:val="%3."/>
      <w:lvlJc w:val="right"/>
      <w:pPr>
        <w:ind w:left="2185" w:hanging="180"/>
      </w:pPr>
    </w:lvl>
    <w:lvl w:ilvl="3" w:tentative="0">
      <w:start w:val="1"/>
      <w:numFmt w:val="decimal"/>
      <w:lvlText w:val="%4."/>
      <w:lvlJc w:val="left"/>
      <w:pPr>
        <w:ind w:left="2905" w:hanging="360"/>
      </w:pPr>
    </w:lvl>
    <w:lvl w:ilvl="4" w:tentative="0">
      <w:start w:val="1"/>
      <w:numFmt w:val="lowerLetter"/>
      <w:lvlText w:val="%5."/>
      <w:lvlJc w:val="left"/>
      <w:pPr>
        <w:ind w:left="3625" w:hanging="360"/>
      </w:pPr>
    </w:lvl>
    <w:lvl w:ilvl="5" w:tentative="0">
      <w:start w:val="1"/>
      <w:numFmt w:val="lowerRoman"/>
      <w:lvlText w:val="%6."/>
      <w:lvlJc w:val="right"/>
      <w:pPr>
        <w:ind w:left="4345" w:hanging="180"/>
      </w:pPr>
    </w:lvl>
    <w:lvl w:ilvl="6" w:tentative="0">
      <w:start w:val="1"/>
      <w:numFmt w:val="decimal"/>
      <w:lvlText w:val="%7."/>
      <w:lvlJc w:val="left"/>
      <w:pPr>
        <w:ind w:left="5065" w:hanging="360"/>
      </w:pPr>
    </w:lvl>
    <w:lvl w:ilvl="7" w:tentative="0">
      <w:start w:val="1"/>
      <w:numFmt w:val="lowerLetter"/>
      <w:lvlText w:val="%8."/>
      <w:lvlJc w:val="left"/>
      <w:pPr>
        <w:ind w:left="5785" w:hanging="360"/>
      </w:pPr>
    </w:lvl>
    <w:lvl w:ilvl="8" w:tentative="0">
      <w:start w:val="1"/>
      <w:numFmt w:val="lowerRoman"/>
      <w:lvlText w:val="%9."/>
      <w:lvlJc w:val="right"/>
      <w:pPr>
        <w:ind w:left="6505" w:hanging="180"/>
      </w:pPr>
    </w:lvl>
  </w:abstractNum>
  <w:abstractNum w:abstractNumId="1">
    <w:nsid w:val="4A1E20D6"/>
    <w:multiLevelType w:val="multilevel"/>
    <w:tmpl w:val="4A1E20D6"/>
    <w:lvl w:ilvl="0" w:tentative="0">
      <w:start w:val="1"/>
      <w:numFmt w:val="decimal"/>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41C7E25"/>
    <w:multiLevelType w:val="multilevel"/>
    <w:tmpl w:val="541C7E25"/>
    <w:lvl w:ilvl="0" w:tentative="0">
      <w:start w:val="1"/>
      <w:numFmt w:val="decimal"/>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0B81BC7"/>
    <w:multiLevelType w:val="multilevel"/>
    <w:tmpl w:val="70B81BC7"/>
    <w:lvl w:ilvl="0" w:tentative="0">
      <w:start w:val="1"/>
      <w:numFmt w:val="decimal"/>
      <w:lvlText w:val="%1."/>
      <w:lvlJc w:val="left"/>
      <w:pPr>
        <w:ind w:left="745" w:hanging="360"/>
      </w:pPr>
    </w:lvl>
    <w:lvl w:ilvl="1" w:tentative="0">
      <w:start w:val="1"/>
      <w:numFmt w:val="lowerLetter"/>
      <w:lvlText w:val="%2."/>
      <w:lvlJc w:val="left"/>
      <w:pPr>
        <w:ind w:left="1465" w:hanging="360"/>
      </w:pPr>
    </w:lvl>
    <w:lvl w:ilvl="2" w:tentative="0">
      <w:start w:val="1"/>
      <w:numFmt w:val="lowerRoman"/>
      <w:lvlText w:val="%3."/>
      <w:lvlJc w:val="right"/>
      <w:pPr>
        <w:ind w:left="2185" w:hanging="180"/>
      </w:pPr>
    </w:lvl>
    <w:lvl w:ilvl="3" w:tentative="0">
      <w:start w:val="1"/>
      <w:numFmt w:val="decimal"/>
      <w:lvlText w:val="%4."/>
      <w:lvlJc w:val="left"/>
      <w:pPr>
        <w:ind w:left="2905" w:hanging="360"/>
      </w:pPr>
    </w:lvl>
    <w:lvl w:ilvl="4" w:tentative="0">
      <w:start w:val="1"/>
      <w:numFmt w:val="lowerLetter"/>
      <w:lvlText w:val="%5."/>
      <w:lvlJc w:val="left"/>
      <w:pPr>
        <w:ind w:left="3625" w:hanging="360"/>
      </w:pPr>
    </w:lvl>
    <w:lvl w:ilvl="5" w:tentative="0">
      <w:start w:val="1"/>
      <w:numFmt w:val="lowerRoman"/>
      <w:lvlText w:val="%6."/>
      <w:lvlJc w:val="right"/>
      <w:pPr>
        <w:ind w:left="4345" w:hanging="180"/>
      </w:pPr>
    </w:lvl>
    <w:lvl w:ilvl="6" w:tentative="0">
      <w:start w:val="1"/>
      <w:numFmt w:val="decimal"/>
      <w:lvlText w:val="%7."/>
      <w:lvlJc w:val="left"/>
      <w:pPr>
        <w:ind w:left="5065" w:hanging="360"/>
      </w:pPr>
    </w:lvl>
    <w:lvl w:ilvl="7" w:tentative="0">
      <w:start w:val="1"/>
      <w:numFmt w:val="lowerLetter"/>
      <w:lvlText w:val="%8."/>
      <w:lvlJc w:val="left"/>
      <w:pPr>
        <w:ind w:left="5785" w:hanging="360"/>
      </w:pPr>
    </w:lvl>
    <w:lvl w:ilvl="8" w:tentative="0">
      <w:start w:val="1"/>
      <w:numFmt w:val="lowerRoman"/>
      <w:lvlText w:val="%9."/>
      <w:lvlJc w:val="right"/>
      <w:pPr>
        <w:ind w:left="6505"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oFAGM09x4tAAAA"/>
    <w:docVar w:name="commondata" w:val="eyJoZGlkIjoiZDExODU4OTgyZTZjYjg0YzUzNzA1YzUxMmJhYmJhYWUifQ=="/>
  </w:docVars>
  <w:rsids>
    <w:rsidRoot w:val="00806228"/>
    <w:rsid w:val="00004385"/>
    <w:rsid w:val="00004D98"/>
    <w:rsid w:val="0001141E"/>
    <w:rsid w:val="000322FA"/>
    <w:rsid w:val="00045698"/>
    <w:rsid w:val="00081EAE"/>
    <w:rsid w:val="000830B5"/>
    <w:rsid w:val="00083985"/>
    <w:rsid w:val="00092C0A"/>
    <w:rsid w:val="00093D44"/>
    <w:rsid w:val="000940E5"/>
    <w:rsid w:val="00094F28"/>
    <w:rsid w:val="000C1523"/>
    <w:rsid w:val="000C5275"/>
    <w:rsid w:val="000D3028"/>
    <w:rsid w:val="000E1212"/>
    <w:rsid w:val="000F1017"/>
    <w:rsid w:val="000F5AD5"/>
    <w:rsid w:val="00104FDF"/>
    <w:rsid w:val="00110135"/>
    <w:rsid w:val="0011111E"/>
    <w:rsid w:val="00124A64"/>
    <w:rsid w:val="00126850"/>
    <w:rsid w:val="00136B4D"/>
    <w:rsid w:val="00156B63"/>
    <w:rsid w:val="001A12AD"/>
    <w:rsid w:val="00244EAB"/>
    <w:rsid w:val="00250466"/>
    <w:rsid w:val="00291576"/>
    <w:rsid w:val="002A3AA1"/>
    <w:rsid w:val="002A3DC8"/>
    <w:rsid w:val="002C69BF"/>
    <w:rsid w:val="002E50ED"/>
    <w:rsid w:val="002F1A9A"/>
    <w:rsid w:val="002F663B"/>
    <w:rsid w:val="003044B1"/>
    <w:rsid w:val="00307872"/>
    <w:rsid w:val="003273AF"/>
    <w:rsid w:val="00332EDA"/>
    <w:rsid w:val="00340E3F"/>
    <w:rsid w:val="00365F71"/>
    <w:rsid w:val="00377B7E"/>
    <w:rsid w:val="003836F7"/>
    <w:rsid w:val="0038739E"/>
    <w:rsid w:val="003B7034"/>
    <w:rsid w:val="003C417B"/>
    <w:rsid w:val="003D5434"/>
    <w:rsid w:val="003E7834"/>
    <w:rsid w:val="003E7C5F"/>
    <w:rsid w:val="0044795F"/>
    <w:rsid w:val="00450CB8"/>
    <w:rsid w:val="00481144"/>
    <w:rsid w:val="0049068F"/>
    <w:rsid w:val="004D7307"/>
    <w:rsid w:val="004E16A5"/>
    <w:rsid w:val="004E2C90"/>
    <w:rsid w:val="004F6EB5"/>
    <w:rsid w:val="005117ED"/>
    <w:rsid w:val="005137F2"/>
    <w:rsid w:val="00516734"/>
    <w:rsid w:val="005B3820"/>
    <w:rsid w:val="005E4E86"/>
    <w:rsid w:val="005E6CEC"/>
    <w:rsid w:val="005F0962"/>
    <w:rsid w:val="005F35CE"/>
    <w:rsid w:val="005F4317"/>
    <w:rsid w:val="005F46A3"/>
    <w:rsid w:val="006010CD"/>
    <w:rsid w:val="006075CA"/>
    <w:rsid w:val="0060792E"/>
    <w:rsid w:val="00621B34"/>
    <w:rsid w:val="00625A6C"/>
    <w:rsid w:val="00640081"/>
    <w:rsid w:val="00643AAD"/>
    <w:rsid w:val="0065329E"/>
    <w:rsid w:val="00656B51"/>
    <w:rsid w:val="006608F3"/>
    <w:rsid w:val="00662009"/>
    <w:rsid w:val="00671C7A"/>
    <w:rsid w:val="00684DD7"/>
    <w:rsid w:val="0069266F"/>
    <w:rsid w:val="006B6512"/>
    <w:rsid w:val="006F4DF6"/>
    <w:rsid w:val="007110FC"/>
    <w:rsid w:val="00713045"/>
    <w:rsid w:val="00714881"/>
    <w:rsid w:val="00740B9D"/>
    <w:rsid w:val="00741516"/>
    <w:rsid w:val="007426CA"/>
    <w:rsid w:val="007441B4"/>
    <w:rsid w:val="00753442"/>
    <w:rsid w:val="00764261"/>
    <w:rsid w:val="00770B0D"/>
    <w:rsid w:val="00775C13"/>
    <w:rsid w:val="00792BC9"/>
    <w:rsid w:val="007A0C6C"/>
    <w:rsid w:val="007A4B20"/>
    <w:rsid w:val="00800F96"/>
    <w:rsid w:val="00806228"/>
    <w:rsid w:val="0081213A"/>
    <w:rsid w:val="00841D7F"/>
    <w:rsid w:val="008442D1"/>
    <w:rsid w:val="0085519E"/>
    <w:rsid w:val="00857829"/>
    <w:rsid w:val="0087667B"/>
    <w:rsid w:val="00881E83"/>
    <w:rsid w:val="00887E70"/>
    <w:rsid w:val="008A6545"/>
    <w:rsid w:val="008A6A60"/>
    <w:rsid w:val="008B2A75"/>
    <w:rsid w:val="008D2E7C"/>
    <w:rsid w:val="00900084"/>
    <w:rsid w:val="0091193A"/>
    <w:rsid w:val="00936E7D"/>
    <w:rsid w:val="00941C11"/>
    <w:rsid w:val="009768D2"/>
    <w:rsid w:val="0098654E"/>
    <w:rsid w:val="009D297D"/>
    <w:rsid w:val="00A028C6"/>
    <w:rsid w:val="00A10091"/>
    <w:rsid w:val="00A17FEE"/>
    <w:rsid w:val="00A344BD"/>
    <w:rsid w:val="00A345CB"/>
    <w:rsid w:val="00A416B5"/>
    <w:rsid w:val="00A55A5F"/>
    <w:rsid w:val="00AC4E8E"/>
    <w:rsid w:val="00AC5694"/>
    <w:rsid w:val="00AF2BDC"/>
    <w:rsid w:val="00B337CD"/>
    <w:rsid w:val="00B36F44"/>
    <w:rsid w:val="00B53CE9"/>
    <w:rsid w:val="00B67260"/>
    <w:rsid w:val="00B90082"/>
    <w:rsid w:val="00B90F9E"/>
    <w:rsid w:val="00BA0C1F"/>
    <w:rsid w:val="00BD21DD"/>
    <w:rsid w:val="00BD4DE7"/>
    <w:rsid w:val="00BD629A"/>
    <w:rsid w:val="00BD78CA"/>
    <w:rsid w:val="00BE588B"/>
    <w:rsid w:val="00BF02D3"/>
    <w:rsid w:val="00C136C1"/>
    <w:rsid w:val="00C24434"/>
    <w:rsid w:val="00C62356"/>
    <w:rsid w:val="00C66FC2"/>
    <w:rsid w:val="00C67FAD"/>
    <w:rsid w:val="00C82237"/>
    <w:rsid w:val="00CB36F5"/>
    <w:rsid w:val="00CF6667"/>
    <w:rsid w:val="00D01A47"/>
    <w:rsid w:val="00D05D51"/>
    <w:rsid w:val="00D111FE"/>
    <w:rsid w:val="00D30D8A"/>
    <w:rsid w:val="00D37B93"/>
    <w:rsid w:val="00D51560"/>
    <w:rsid w:val="00D612EE"/>
    <w:rsid w:val="00D76C72"/>
    <w:rsid w:val="00D81C40"/>
    <w:rsid w:val="00D876B8"/>
    <w:rsid w:val="00DA10E4"/>
    <w:rsid w:val="00DB63F6"/>
    <w:rsid w:val="00DC3963"/>
    <w:rsid w:val="00DD3FD7"/>
    <w:rsid w:val="00DE4348"/>
    <w:rsid w:val="00E0062C"/>
    <w:rsid w:val="00E52CB0"/>
    <w:rsid w:val="00E8155E"/>
    <w:rsid w:val="00E916CF"/>
    <w:rsid w:val="00EB5742"/>
    <w:rsid w:val="00EC226D"/>
    <w:rsid w:val="00F03CE5"/>
    <w:rsid w:val="00F10405"/>
    <w:rsid w:val="00F47FB1"/>
    <w:rsid w:val="00F60CCC"/>
    <w:rsid w:val="00F805CF"/>
    <w:rsid w:val="00F8119D"/>
    <w:rsid w:val="00F91E83"/>
    <w:rsid w:val="00FD6EA5"/>
    <w:rsid w:val="00FE2734"/>
    <w:rsid w:val="00FE6BE2"/>
    <w:rsid w:val="0E7476E7"/>
    <w:rsid w:val="5FDB7D08"/>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3"/>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0"/>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3"/>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16"/>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6">
    <w:name w:val="Balloon Text"/>
    <w:basedOn w:val="1"/>
    <w:link w:val="12"/>
    <w:semiHidden/>
    <w:unhideWhenUsed/>
    <w:uiPriority w:val="99"/>
    <w:pPr>
      <w:spacing w:after="0" w:line="240" w:lineRule="auto"/>
    </w:pPr>
    <w:rPr>
      <w:rFonts w:ascii="Segoe UI" w:hAnsi="Segoe UI" w:cs="Segoe UI"/>
      <w:sz w:val="18"/>
      <w:szCs w:val="18"/>
    </w:rPr>
  </w:style>
  <w:style w:type="paragraph" w:styleId="7">
    <w:name w:val="footer"/>
    <w:basedOn w:val="1"/>
    <w:link w:val="18"/>
    <w:unhideWhenUsed/>
    <w:uiPriority w:val="99"/>
    <w:pPr>
      <w:tabs>
        <w:tab w:val="center" w:pos="4680"/>
        <w:tab w:val="right" w:pos="9360"/>
      </w:tabs>
      <w:spacing w:after="0" w:line="240" w:lineRule="auto"/>
    </w:pPr>
  </w:style>
  <w:style w:type="paragraph" w:styleId="8">
    <w:name w:val="header"/>
    <w:basedOn w:val="1"/>
    <w:link w:val="17"/>
    <w:unhideWhenUsed/>
    <w:uiPriority w:val="99"/>
    <w:pPr>
      <w:tabs>
        <w:tab w:val="center" w:pos="4680"/>
        <w:tab w:val="right" w:pos="9360"/>
      </w:tabs>
      <w:spacing w:after="0" w:line="240" w:lineRule="auto"/>
    </w:pPr>
  </w:style>
  <w:style w:type="table" w:styleId="10">
    <w:name w:val="Table Grid"/>
    <w:basedOn w:val="9"/>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Balloon Text Char"/>
    <w:basedOn w:val="11"/>
    <w:link w:val="6"/>
    <w:semiHidden/>
    <w:uiPriority w:val="99"/>
    <w:rPr>
      <w:rFonts w:ascii="Segoe UI" w:hAnsi="Segoe UI" w:cs="Segoe UI"/>
      <w:sz w:val="18"/>
      <w:szCs w:val="18"/>
      <w:lang w:val="en-AU"/>
    </w:rPr>
  </w:style>
  <w:style w:type="character" w:customStyle="1" w:styleId="13">
    <w:name w:val="Heading 1 Char"/>
    <w:basedOn w:val="11"/>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4">
    <w:name w:val="Style1 Char"/>
    <w:basedOn w:val="11"/>
    <w:link w:val="15"/>
    <w:locked/>
    <w:uiPriority w:val="0"/>
    <w:rPr>
      <w:rFonts w:asciiTheme="majorHAnsi" w:hAnsiTheme="majorHAnsi" w:eastAsiaTheme="majorEastAsia" w:cstheme="majorBidi"/>
      <w:i/>
      <w:iCs/>
      <w:color w:val="002060"/>
      <w:lang w:val="en-AU"/>
    </w:rPr>
  </w:style>
  <w:style w:type="paragraph" w:customStyle="1" w:styleId="15">
    <w:name w:val="Style1"/>
    <w:basedOn w:val="5"/>
    <w:link w:val="14"/>
    <w:qFormat/>
    <w:uiPriority w:val="0"/>
    <w:pPr>
      <w:spacing w:before="120" w:line="240" w:lineRule="auto"/>
    </w:pPr>
    <w:rPr>
      <w:color w:val="002060"/>
    </w:rPr>
  </w:style>
  <w:style w:type="character" w:customStyle="1" w:styleId="16">
    <w:name w:val="Heading 4 Char"/>
    <w:basedOn w:val="11"/>
    <w:link w:val="5"/>
    <w:semiHidden/>
    <w:uiPriority w:val="9"/>
    <w:rPr>
      <w:rFonts w:asciiTheme="majorHAnsi" w:hAnsiTheme="majorHAnsi" w:eastAsiaTheme="majorEastAsia" w:cstheme="majorBidi"/>
      <w:i/>
      <w:iCs/>
      <w:color w:val="2F5597" w:themeColor="accent1" w:themeShade="BF"/>
      <w:lang w:val="en-AU"/>
    </w:rPr>
  </w:style>
  <w:style w:type="character" w:customStyle="1" w:styleId="17">
    <w:name w:val="Header Char"/>
    <w:basedOn w:val="11"/>
    <w:link w:val="8"/>
    <w:uiPriority w:val="99"/>
    <w:rPr>
      <w:lang w:val="en-AU"/>
    </w:rPr>
  </w:style>
  <w:style w:type="character" w:customStyle="1" w:styleId="18">
    <w:name w:val="Footer Char"/>
    <w:basedOn w:val="11"/>
    <w:link w:val="7"/>
    <w:uiPriority w:val="99"/>
    <w:rPr>
      <w:lang w:val="en-AU"/>
    </w:rPr>
  </w:style>
  <w:style w:type="paragraph" w:styleId="19">
    <w:name w:val="List Paragraph"/>
    <w:basedOn w:val="1"/>
    <w:link w:val="21"/>
    <w:qFormat/>
    <w:uiPriority w:val="34"/>
    <w:pPr>
      <w:ind w:left="720"/>
      <w:contextualSpacing/>
    </w:pPr>
  </w:style>
  <w:style w:type="character" w:customStyle="1" w:styleId="20">
    <w:name w:val="Heading 2 Char"/>
    <w:basedOn w:val="11"/>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21">
    <w:name w:val="List Paragraph Char"/>
    <w:basedOn w:val="11"/>
    <w:link w:val="19"/>
    <w:uiPriority w:val="34"/>
    <w:rPr>
      <w:lang w:val="en-AU"/>
    </w:rPr>
  </w:style>
  <w:style w:type="table" w:customStyle="1" w:styleId="22">
    <w:name w:val="Compliant Table Grid1"/>
    <w:basedOn w:val="9"/>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Heading 3 Char"/>
    <w:basedOn w:val="11"/>
    <w:link w:val="4"/>
    <w:uiPriority w:val="9"/>
    <w:rPr>
      <w:rFonts w:asciiTheme="majorHAnsi" w:hAnsiTheme="majorHAnsi" w:eastAsiaTheme="majorEastAsia" w:cstheme="majorBidi"/>
      <w:color w:val="203864" w:themeColor="accent1" w:themeShade="80"/>
      <w:sz w:val="24"/>
      <w:szCs w:val="24"/>
      <w:lang w:val="en-AU"/>
    </w:rPr>
  </w:style>
  <w:style w:type="character" w:styleId="24">
    <w:name w:val="Placeholder Text"/>
    <w:basedOn w:val="11"/>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D8DE119501F41709C3C660D67A86BBC"/>
        <w:style w:val=""/>
        <w:category>
          <w:name w:val="General"/>
          <w:gallery w:val="placeholder"/>
        </w:category>
        <w:types>
          <w:type w:val="bbPlcHdr"/>
        </w:types>
        <w:behaviors>
          <w:behavior w:val="content"/>
        </w:behaviors>
        <w:description w:val=""/>
        <w:guid w:val="{8197294E-A6A9-4483-9285-670F9C0AB5A7}"/>
      </w:docPartPr>
      <w:docPartBody>
        <w:p>
          <w:pPr>
            <w:pStyle w:val="5"/>
          </w:pPr>
          <w:r>
            <w:rPr>
              <w:rStyle w:val="4"/>
            </w:rPr>
            <w:t>[Status]</w:t>
          </w:r>
        </w:p>
      </w:docPartBody>
    </w:docPart>
    <w:docPart>
      <w:docPartPr>
        <w:name w:val="7DF2F35576DE4EF5877CBE179C74843D"/>
        <w:style w:val=""/>
        <w:category>
          <w:name w:val="General"/>
          <w:gallery w:val="placeholder"/>
        </w:category>
        <w:types>
          <w:type w:val="bbPlcHdr"/>
        </w:types>
        <w:behaviors>
          <w:behavior w:val="content"/>
        </w:behaviors>
        <w:description w:val=""/>
        <w:guid w:val="{A3F12E3F-0970-4527-807F-00869CFD9856}"/>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C55"/>
    <w:rsid w:val="00BA7C55"/>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CD8DE119501F41709C3C660D67A86B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7DF2F35576DE4EF5877CBE179C74843D"/>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Props1.xml><?xml version="1.0" encoding="utf-8"?>
<ds:datastoreItem xmlns:ds="http://schemas.openxmlformats.org/officeDocument/2006/customXml" ds:itemID="{B7F32068-923D-4063-9437-F568A6FCE71A}">
  <ds:schemaRefs/>
</ds:datastoreItem>
</file>

<file path=customXml/itemProps2.xml><?xml version="1.0" encoding="utf-8"?>
<ds:datastoreItem xmlns:ds="http://schemas.openxmlformats.org/officeDocument/2006/customXml" ds:itemID="{C7BCA939-B1AD-4FD1-BE96-0EC6C1E132B0}">
  <ds:schemaRefs/>
</ds:datastoreItem>
</file>

<file path=customXml/itemProps3.xml><?xml version="1.0" encoding="utf-8"?>
<ds:datastoreItem xmlns:ds="http://schemas.openxmlformats.org/officeDocument/2006/customXml" ds:itemID="{0148EA3C-98C2-4EF2-A998-9476E0854D3B}">
  <ds:schemaRefs/>
</ds:datastoreItem>
</file>

<file path=customXml/itemProps4.xml><?xml version="1.0" encoding="utf-8"?>
<ds:datastoreItem xmlns:ds="http://schemas.openxmlformats.org/officeDocument/2006/customXml" ds:itemID="{83259644-C10C-41F6-9FC9-D7137B36DF26}">
  <ds:schemaRefs/>
</ds:datastoreItem>
</file>

<file path=docProps/app.xml><?xml version="1.0" encoding="utf-8"?>
<Properties xmlns="http://schemas.openxmlformats.org/officeDocument/2006/extended-properties" xmlns:vt="http://schemas.openxmlformats.org/officeDocument/2006/docPropsVTypes">
  <Template>Normal.dotm</Template>
  <Pages>7</Pages>
  <Words>1081</Words>
  <Characters>5752</Characters>
  <Lines>57</Lines>
  <Paragraphs>16</Paragraphs>
  <TotalTime>11</TotalTime>
  <ScaleCrop>false</ScaleCrop>
  <LinksUpToDate>false</LinksUpToDate>
  <CharactersWithSpaces>6598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2021-01-10T03:02:00Z</dcterms:created>
  <dc:creator>Compliant Learning Resources</dc:creator>
  <cp:lastModifiedBy>Administrator</cp:lastModifiedBy>
  <dcterms:modified xsi:type="dcterms:W3CDTF">2022-11-28T04:10:04Z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2052-11.1.0.12598</vt:lpwstr>
  </property>
  <property fmtid="{D5CDD505-2E9C-101B-9397-08002B2CF9AE}" pid="4" name="ICV">
    <vt:lpwstr>E0CBC45D1A104E61AC5047203EBECB67</vt:lpwstr>
  </property>
</Properties>
</file>